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7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富晟亿美汽车光电零部件（长春）有限公司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hint="eastAsia"/>
              </w:rPr>
              <w:t xml:space="preserve">□现评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F052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富晟亿美汽车光电零部件（长春）有限公司</w:t>
            </w:r>
            <w:r>
              <w:rPr>
                <w:rFonts w:hint="eastAsia"/>
                <w:sz w:val="24"/>
                <w:lang w:val="en-US" w:eastAsia="zh-CN"/>
              </w:rPr>
              <w:t>职业病危害检测报告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王会杰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18143036560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富晟亿美汽车光电零部件（长春）有限公司</w:t>
            </w:r>
            <w:r>
              <w:rPr>
                <w:rFonts w:hint="eastAsia"/>
                <w:sz w:val="24"/>
                <w:lang w:val="en-US" w:eastAsia="zh-CN"/>
              </w:rPr>
              <w:t>职业病危害检测报告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Calibri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王会杰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王会杰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主要存在的职业病危害因素：丙烯酸、二甲苯、醋酸丁酯、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乙酸乙酯、工频电场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噪声</w:t>
            </w: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未超标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right="0" w:rightChars="0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的建设项目。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spacing w:val="-5"/>
                <w:sz w:val="24"/>
              </w:rPr>
              <w:t>拟建设项目在初步设计中执行了我国职业卫生法律法规、相关卫生标准、规范。如能保证各项职业卫生防护措施落实到位并加强职业卫生管理，从预防职业病和职业病危害防护角度考虑，该建设项目是可行的。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技术审查专家组评审意见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pacing w:val="-5"/>
                <w:sz w:val="24"/>
              </w:rPr>
              <w:t>细化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生产设备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加强职业病设施维护管理</w:t>
            </w:r>
            <w:r>
              <w:rPr>
                <w:spacing w:val="-5"/>
                <w:sz w:val="24"/>
              </w:rPr>
              <w:t>。</w:t>
            </w:r>
          </w:p>
        </w:tc>
      </w:tr>
    </w:tbl>
    <w:p/>
    <w:sectPr>
      <w:headerReference r:id="rId3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检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186</w:t>
          </w:r>
          <w:r>
            <w:rPr>
              <w:rFonts w:hint="eastAsia" w:ascii="宋体" w:hAnsi="宋体"/>
              <w:sz w:val="18"/>
              <w:szCs w:val="18"/>
            </w:rPr>
            <w:t>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007B"/>
    <w:rsid w:val="31D373B1"/>
    <w:rsid w:val="3FBFE734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 w:val="24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lengz</cp:lastModifiedBy>
  <dcterms:modified xsi:type="dcterms:W3CDTF">2021-11-10T01:42:45Z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2052-10.8.2.6837</vt:lpwstr>
  </property>
</Properties>
</file>