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eastAsia="zh-CN"/>
              </w:rPr>
              <w:t>公主岭市尖山水泥有限责任公司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hint="eastAsia"/>
              </w:rPr>
              <w:t xml:space="preserve">□现评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F052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吉林省公主岭市范家屯镇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贾鹏宇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18443228886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公主岭市尖山水泥有限责任公司</w:t>
            </w:r>
            <w:r>
              <w:rPr>
                <w:rFonts w:hint="eastAsia"/>
                <w:sz w:val="24"/>
                <w:lang w:val="en-US" w:eastAsia="zh-CN"/>
              </w:rPr>
              <w:t>职业病危害检测报告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2021.08.10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贾鹏宇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2021.08.10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贾鹏宇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矽尘、水泥粉尘、噪声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球磨噪声超标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right="0" w:right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拟建设项目在初步设计中执行了我国职业卫生法律法规、相关卫生标准、规范。如能保证各项职业卫生防护措施落实到位并加强职业卫生管理，从预防职业病和职业病危害防护角度考虑，该建设项目是可行的。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pacing w:val="-5"/>
                <w:sz w:val="24"/>
              </w:rPr>
              <w:t>细化应急救援设施、预案内容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加强职业病设施维护管理</w:t>
            </w:r>
            <w:bookmarkStart w:id="0" w:name="_GoBack"/>
            <w:bookmarkEnd w:id="0"/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3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检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249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007B"/>
    <w:rsid w:val="3FBFE734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lengz</cp:lastModifiedBy>
  <dcterms:modified xsi:type="dcterms:W3CDTF">2021-11-10T01:00:29Z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2052-10.8.2.6837</vt:lpwstr>
  </property>
</Properties>
</file>