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rPr>
          <w:sz w:val="8"/>
        </w:rPr>
      </w:pPr>
    </w:p>
    <w:tbl>
      <w:tblPr>
        <w:tblStyle w:val="6"/>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长春红忠钢材加工有限公司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t xml:space="preserve">□控评 </w:t>
            </w:r>
            <w:r>
              <w:t xml:space="preserve">      </w:t>
            </w:r>
            <w:r>
              <w:rPr>
                <w:rFonts w:hint="eastAsia"/>
              </w:rPr>
              <w:t xml:space="preserve">□现评 </w:t>
            </w:r>
            <w:r>
              <w:t xml:space="preserve">      </w:t>
            </w:r>
            <w:r>
              <w:rPr>
                <w:rFonts w:hint="eastAsia"/>
              </w:rPr>
              <w:sym w:font="Wingdings 2" w:char="0052"/>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吉林省长春市高新技术产业开发区超越大街2389号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王仁哲</w:t>
            </w:r>
          </w:p>
        </w:tc>
        <w:tc>
          <w:tcPr>
            <w:tcW w:w="1907"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18686651816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sz w:val="24"/>
              </w:rPr>
              <w:t>依据《中华人民共和国职业病防治法》、《工作场所职业卫生管理规定》、《用人单位职业病危害因素定期检测管理规范》的规定，</w:t>
            </w:r>
            <w:r>
              <w:rPr>
                <w:rFonts w:hint="eastAsia"/>
                <w:sz w:val="24"/>
                <w:lang w:eastAsia="zh-CN"/>
              </w:rPr>
              <w:t>长春红忠钢材加工有限公司</w:t>
            </w:r>
            <w:r>
              <w:rPr>
                <w:sz w:val="24"/>
              </w:rPr>
              <w:t>委托吉林省正光安全科技有限公司对其工作场所存在的职业病危害因素进行检测并依据《工作场所有害因素职业接触限值第1部分：化学有害因素》（GBZ2.1-20</w:t>
            </w:r>
            <w:r>
              <w:rPr>
                <w:rFonts w:hint="eastAsia"/>
                <w:sz w:val="24"/>
                <w:lang w:val="en-US" w:eastAsia="zh-CN"/>
              </w:rPr>
              <w:t>19</w:t>
            </w:r>
            <w:r>
              <w:rPr>
                <w:sz w:val="24"/>
              </w:rPr>
              <w:t>）以及《工作场所有害因素职业接触限值第2部分：物理因素》（GBZ2.2-2007）对检测结果进行评价</w:t>
            </w: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eastAsia="宋体"/>
                <w:sz w:val="24"/>
                <w:lang w:val="en-US" w:eastAsia="zh-CN"/>
              </w:rPr>
            </w:pPr>
            <w:r>
              <w:rPr>
                <w:rFonts w:hint="eastAsia" w:ascii="Calibri"/>
                <w:sz w:val="24"/>
                <w:lang w:val="en-US" w:eastAsia="zh-CN"/>
              </w:rPr>
              <w:t>2021.3.10</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王仁哲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eastAsia="宋体"/>
                <w:sz w:val="24"/>
                <w:lang w:val="en-US" w:eastAsia="zh-CN"/>
              </w:rPr>
            </w:pPr>
            <w:r>
              <w:rPr>
                <w:rFonts w:hint="eastAsia" w:ascii="Calibri"/>
                <w:sz w:val="24"/>
                <w:lang w:val="en-US" w:eastAsia="zh-CN"/>
              </w:rPr>
              <w:t>2021.3.10</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sz w:val="24"/>
                <w:lang w:val="en-US" w:eastAsia="zh-CN"/>
              </w:rPr>
              <w:t>王仁哲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val="0"/>
                <w:bCs w:val="0"/>
                <w:spacing w:val="-5"/>
                <w:sz w:val="24"/>
                <w:lang w:val="en-US" w:eastAsia="zh-CN"/>
              </w:rPr>
            </w:pPr>
            <w:r>
              <w:rPr>
                <w:rFonts w:hint="eastAsia"/>
                <w:b/>
                <w:bCs/>
                <w:spacing w:val="-5"/>
                <w:sz w:val="24"/>
                <w:lang w:val="en-US" w:eastAsia="zh-Hans"/>
              </w:rPr>
              <w:t>主要存在的职业病危害因素：</w:t>
            </w:r>
            <w:r>
              <w:rPr>
                <w:rFonts w:hint="eastAsia"/>
                <w:b w:val="0"/>
                <w:bCs w:val="0"/>
                <w:spacing w:val="-5"/>
                <w:sz w:val="24"/>
                <w:lang w:val="en-US" w:eastAsia="zh-Hans"/>
              </w:rPr>
              <w:t>电焊烟尘、一氧化碳、二氧化氮、二氧化锰、臭氧、紫外辐射、噪声</w:t>
            </w:r>
            <w:r>
              <w:rPr>
                <w:rFonts w:hint="eastAsia"/>
                <w:b w:val="0"/>
                <w:bCs w:val="0"/>
                <w:spacing w:val="-5"/>
                <w:sz w:val="24"/>
                <w:lang w:val="en-US"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本次检测结果显示用人单位维修岗位接触粉尘的时间加权平均浓度符合《工作场所有害因素职业接触限值 第1部分 化学有害因素》的规定。</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本次检测结果显示用人单位维修工接触一氧化碳、二氧化氮、臭氧。锰及其无机化合物的浓度符合《工作场所有害因素职业接触限值 第1部分 化学有害因素》的规定。</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本次检测结果显示委托单位维修工接触紫外辐射、噪声的强度及其他岗位的操作工接触噪声的强度均符合《工作场所有害因素职业接触限值第2部分：物理因素》的要求</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right="0" w:rightChars="0"/>
              <w:jc w:val="left"/>
              <w:textAlignment w:val="auto"/>
              <w:outlineLvl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一般</w:t>
            </w:r>
            <w:r>
              <w:rPr>
                <w:spacing w:val="-5"/>
                <w:sz w:val="24"/>
              </w:rPr>
              <w:t>的建设项目。</w:t>
            </w:r>
            <w:bookmarkStart w:id="0" w:name="_GoBack"/>
            <w:bookmarkEnd w:id="0"/>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建</w:t>
            </w:r>
            <w:r>
              <w:rPr>
                <w:rFonts w:hint="default"/>
                <w:b/>
                <w:bCs/>
                <w:spacing w:val="-5"/>
                <w:sz w:val="24"/>
                <w:lang w:eastAsia="zh-Hans"/>
              </w:rPr>
              <w:t xml:space="preserve">    </w:t>
            </w:r>
            <w:r>
              <w:rPr>
                <w:rFonts w:hint="eastAsia"/>
                <w:b/>
                <w:bCs/>
                <w:spacing w:val="-5"/>
                <w:sz w:val="24"/>
                <w:lang w:val="en-US" w:eastAsia="zh-Hans"/>
              </w:rPr>
              <w:t>议：</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b w:val="0"/>
                <w:bCs w:val="0"/>
                <w:spacing w:val="-5"/>
                <w:sz w:val="24"/>
              </w:rPr>
            </w:pPr>
            <w:r>
              <w:rPr>
                <w:b w:val="0"/>
                <w:bCs w:val="0"/>
                <w:spacing w:val="-5"/>
                <w:sz w:val="24"/>
              </w:rPr>
              <w:t>1.本次检测有毒化学物质的浓度未超过职业卫生接触限值，也应该培训和监督各岗位作业人员在作业过程中严格按要求佩戴符合国家标准的个人防护用品，以降低工人作业过程中毒物的接触</w:t>
            </w:r>
            <w:r>
              <w:rPr>
                <w:rFonts w:hint="eastAsia"/>
                <w:b w:val="0"/>
                <w:bCs w:val="0"/>
                <w:spacing w:val="-5"/>
                <w:sz w:val="24"/>
                <w:lang w:val="en-US" w:eastAsia="zh-CN"/>
              </w:rPr>
              <w:t>水平</w:t>
            </w:r>
            <w:r>
              <w:rPr>
                <w:b w:val="0"/>
                <w:bCs w:val="0"/>
                <w:spacing w:val="-5"/>
                <w:sz w:val="24"/>
              </w:rPr>
              <w:t>。应按照《个体防护装备选用规范》GB/T11651-2008选择防噪耳塞，并为接</w:t>
            </w:r>
            <w:r>
              <w:rPr>
                <w:rFonts w:hint="eastAsia"/>
                <w:b w:val="0"/>
                <w:bCs w:val="0"/>
                <w:spacing w:val="-5"/>
                <w:sz w:val="24"/>
              </w:rPr>
              <w:t>触</w:t>
            </w:r>
            <w:r>
              <w:rPr>
                <w:b w:val="0"/>
                <w:bCs w:val="0"/>
                <w:spacing w:val="-5"/>
                <w:sz w:val="24"/>
              </w:rPr>
              <w:t>噪</w:t>
            </w:r>
            <w:r>
              <w:rPr>
                <w:rFonts w:hint="eastAsia"/>
                <w:b w:val="0"/>
                <w:bCs w:val="0"/>
                <w:spacing w:val="-5"/>
                <w:sz w:val="24"/>
              </w:rPr>
              <w:t>声</w:t>
            </w:r>
            <w:r>
              <w:rPr>
                <w:b w:val="0"/>
                <w:bCs w:val="0"/>
                <w:spacing w:val="-5"/>
                <w:sz w:val="24"/>
              </w:rPr>
              <w:t>岗位人员发放防噪耳塞且监督佩戴。</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b w:val="0"/>
                <w:bCs w:val="0"/>
                <w:spacing w:val="-5"/>
                <w:sz w:val="24"/>
              </w:rPr>
            </w:pPr>
            <w:r>
              <w:rPr>
                <w:rFonts w:hint="eastAsia"/>
                <w:b w:val="0"/>
                <w:bCs w:val="0"/>
                <w:spacing w:val="-5"/>
                <w:sz w:val="24"/>
              </w:rPr>
              <w:t>2</w:t>
            </w:r>
            <w:r>
              <w:rPr>
                <w:b w:val="0"/>
                <w:bCs w:val="0"/>
                <w:spacing w:val="-5"/>
                <w:sz w:val="24"/>
              </w:rPr>
              <w:t>. 用人单位应按照《中华人民共和国职业病防治法》第二十六条第二款、第三款要求，建立职业病危害因素定期检测制度，每年至少委托有资质的职业卫生技术服务机构对所有作业场所存在的职业病危害因素进行一次全面检测</w:t>
            </w:r>
            <w:r>
              <w:rPr>
                <w:rFonts w:hint="eastAsia"/>
                <w:b w:val="0"/>
                <w:bCs w:val="0"/>
                <w:spacing w:val="-5"/>
                <w:sz w:val="24"/>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rPr>
              <w:t>3</w:t>
            </w:r>
            <w:r>
              <w:rPr>
                <w:b w:val="0"/>
                <w:bCs w:val="0"/>
                <w:spacing w:val="-5"/>
                <w:sz w:val="24"/>
              </w:rPr>
              <w:t>.用人单位应根据《职业健康监护技术规范》的要求对接触职业病危害的所有员工在有资质的职业健康检查机构进行至少每年一次的职业健康检查，并保证体检率达到100%。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CN"/>
              </w:rPr>
            </w:pPr>
            <w:r>
              <w:rPr>
                <w:rFonts w:hint="eastAsia"/>
                <w:sz w:val="24"/>
                <w:lang w:val="en-US" w:eastAsia="zh-CN"/>
              </w:rPr>
              <w:t>无</w:t>
            </w:r>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rFonts w:hint="eastAsia" w:ascii="宋体" w:hAnsi="宋体"/>
              <w:sz w:val="18"/>
              <w:szCs w:val="18"/>
            </w:rPr>
            <w:t xml:space="preserve">项目编号：吉正光职   </w:t>
          </w:r>
          <w:r>
            <w:rPr>
              <w:rFonts w:hint="eastAsia"/>
              <w:sz w:val="18"/>
              <w:szCs w:val="18"/>
              <w:lang w:val="en-US" w:eastAsia="zh-CN"/>
            </w:rPr>
            <w:t>检</w:t>
          </w:r>
          <w:r>
            <w:rPr>
              <w:rFonts w:hint="eastAsia" w:ascii="宋体" w:hAnsi="宋体"/>
              <w:sz w:val="18"/>
              <w:szCs w:val="18"/>
            </w:rPr>
            <w:t xml:space="preserve">  评（</w:t>
          </w:r>
          <w:r>
            <w:rPr>
              <w:rFonts w:hint="eastAsia"/>
              <w:sz w:val="18"/>
              <w:szCs w:val="18"/>
              <w:lang w:val="en-US" w:eastAsia="zh-CN"/>
            </w:rPr>
            <w:t>2021</w:t>
          </w:r>
          <w:r>
            <w:rPr>
              <w:rFonts w:hint="eastAsia" w:ascii="宋体" w:hAnsi="宋体"/>
              <w:sz w:val="18"/>
              <w:szCs w:val="18"/>
            </w:rPr>
            <w:t xml:space="preserve">）第 </w:t>
          </w:r>
          <w:r>
            <w:rPr>
              <w:rFonts w:hint="eastAsia"/>
              <w:sz w:val="18"/>
              <w:szCs w:val="18"/>
              <w:lang w:val="en-US" w:eastAsia="zh-CN"/>
            </w:rPr>
            <w:t>031</w:t>
          </w:r>
          <w:r>
            <w:rPr>
              <w:rFonts w:hint="eastAsia" w:ascii="宋体" w:hAnsi="宋体"/>
              <w:sz w:val="18"/>
              <w:szCs w:val="18"/>
            </w:rPr>
            <w:t xml:space="preserve">  号</w:t>
          </w:r>
          <w:r>
            <w:rPr>
              <w:rFonts w:hint="eastAsia" w:ascii="宋体" w:hAnsi="宋体"/>
              <w:sz w:val="18"/>
              <w:szCs w:val="18"/>
            </w:rPr>
            <w:tab/>
          </w:r>
          <w:r>
            <w:rPr>
              <w:rFonts w:hint="eastAsia" w:ascii="宋体" w:hAnsi="宋体"/>
              <w:sz w:val="18"/>
              <w:szCs w:val="18"/>
            </w:rPr>
            <w:t xml:space="preserve">                                   第    页共    页</w:t>
          </w:r>
        </w:p>
      </w:tc>
    </w:tr>
  </w:tbl>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F571051"/>
    <w:rsid w:val="3121685C"/>
    <w:rsid w:val="3FBFE734"/>
    <w:rsid w:val="43603BFF"/>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20" w:lineRule="exact"/>
      <w:ind w:firstLine="763" w:firstLineChars="200"/>
    </w:pPr>
    <w:rPr>
      <w:rFonts w:ascii="Times New Roman" w:hAnsi="Times New Roman" w:eastAsia="仿宋_GB2312"/>
      <w:sz w:val="28"/>
      <w:szCs w:val="20"/>
    </w:rPr>
  </w:style>
  <w:style w:type="paragraph" w:styleId="3">
    <w:name w:val="Body Text"/>
    <w:basedOn w:val="1"/>
    <w:qFormat/>
    <w:uiPriority w:val="1"/>
    <w:rPr>
      <w:rFonts w:ascii="FZXiaoBiaoSong-B05S" w:hAnsi="FZXiaoBiaoSong-B05S" w:eastAsia="FZXiaoBiaoSong-B05S" w:cs="FZXiaoBiaoSong-B05S"/>
      <w:sz w:val="36"/>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pPr>
      <w:spacing w:before="101"/>
      <w:ind w:left="107"/>
    </w:pPr>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2021-11-10T01:17:02Z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2052-11.1.0.11045</vt:lpwstr>
  </property>
  <property fmtid="{D5CDD505-2E9C-101B-9397-08002B2CF9AE}" pid="6" name="ICV">
    <vt:lpwstr>F2D97F7B09104D918694C602ED1A1E8F</vt:lpwstr>
  </property>
</Properties>
</file>