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8"/>
        </w:rPr>
      </w:pPr>
    </w:p>
    <w:tbl>
      <w:tblPr>
        <w:tblStyle w:val="6"/>
        <w:tblW w:w="922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3005"/>
        <w:gridCol w:w="1907"/>
        <w:gridCol w:w="118"/>
        <w:gridCol w:w="2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建设单位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长春五谷香生物科技有限公司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b/>
                <w:bCs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项目类别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 xml:space="preserve">预评 </w:t>
            </w:r>
            <w:r>
              <w:t xml:space="preserve">       </w:t>
            </w:r>
            <w:r>
              <w:rPr>
                <w:rFonts w:hint="eastAsia"/>
              </w:rPr>
              <w:t xml:space="preserve">□控评 </w:t>
            </w:r>
            <w:r>
              <w:t xml:space="preserve">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现评 </w:t>
            </w:r>
            <w:r>
              <w:t xml:space="preserve"> 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项目地址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default"/>
                <w:sz w:val="24"/>
                <w:lang w:eastAsia="zh-CN"/>
              </w:rPr>
              <w:t>经济开发区兴隆山镇佛山大街2888号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联系人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孟经理</w:t>
            </w:r>
          </w:p>
        </w:tc>
        <w:tc>
          <w:tcPr>
            <w:tcW w:w="1907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 w:eastAsia="宋体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lang w:val="en-US" w:eastAsia="zh-Hans"/>
              </w:rPr>
              <w:t>电话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15944718686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项目名称及简介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长春五谷香生物科技有限公司</w:t>
            </w:r>
            <w:r>
              <w:rPr>
                <w:rFonts w:hint="eastAsia"/>
                <w:sz w:val="24"/>
              </w:rPr>
              <w:t>工作场所职业病危害</w:t>
            </w:r>
            <w:r>
              <w:rPr>
                <w:rFonts w:hint="eastAsia"/>
                <w:sz w:val="24"/>
                <w:lang w:val="en-US" w:eastAsia="zh-CN"/>
              </w:rPr>
              <w:t>预</w:t>
            </w:r>
            <w:r>
              <w:rPr>
                <w:rFonts w:hint="eastAsia"/>
                <w:sz w:val="24"/>
              </w:rPr>
              <w:t>评价报告</w:t>
            </w:r>
            <w:r>
              <w:rPr>
                <w:rFonts w:hint="eastAsia"/>
                <w:sz w:val="24"/>
                <w:lang w:eastAsia="zh-CN"/>
              </w:rPr>
              <w:t>，长春五谷香生物科技有限公司五谷香生物饲料二期厂房建设项目</w:t>
            </w:r>
            <w:r>
              <w:rPr>
                <w:rFonts w:hint="eastAsia"/>
                <w:sz w:val="24"/>
                <w:lang w:val="en-US" w:eastAsia="zh-CN"/>
              </w:rPr>
              <w:t>新建厂房1栋，1层，1条添加剂预混料生产线。厂房占地面积3802.22，建筑面积3802.22㎡，一套添加剂预混合饲料加工生产设备，设备年产值添加剂预混合饲料2万吨，年产值9600万元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both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现场调查时间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 w:eastAsia="宋体"/>
                <w:sz w:val="24"/>
                <w:lang w:val="en-US" w:eastAsia="zh-CN"/>
              </w:rPr>
            </w:pPr>
            <w:r>
              <w:rPr>
                <w:rFonts w:hint="eastAsia" w:ascii="Calibri"/>
                <w:sz w:val="24"/>
                <w:lang w:val="en-US" w:eastAsia="zh-CN"/>
              </w:rPr>
              <w:t>2021.5.20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b/>
                <w:bCs/>
                <w:sz w:val="24"/>
              </w:rPr>
              <w:t>采样、检测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56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采样、检测时间</w:t>
            </w:r>
          </w:p>
        </w:tc>
        <w:tc>
          <w:tcPr>
            <w:tcW w:w="3005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 w:ascii="Calibri" w:eastAsia="宋体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无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建设单位陪同人</w:t>
            </w:r>
          </w:p>
        </w:tc>
        <w:tc>
          <w:tcPr>
            <w:tcW w:w="2339" w:type="dxa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ascii="Calibri"/>
                <w:sz w:val="24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建设项目存在的主要职业病危害因素及检测结果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主要存在的职业病危害因素：</w:t>
            </w: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其他粉尘、谷物粉尘</w:t>
            </w: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Hans"/>
              </w:rPr>
              <w:t>和噪声</w:t>
            </w: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检测结果：</w:t>
            </w: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评价结论与建议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spacing w:val="-5"/>
                <w:sz w:val="24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评价结论：</w:t>
            </w:r>
            <w:r>
              <w:rPr>
                <w:spacing w:val="-5"/>
                <w:sz w:val="24"/>
              </w:rPr>
              <w:t>本项目属于职业病危害</w:t>
            </w:r>
            <w:r>
              <w:rPr>
                <w:rFonts w:hint="eastAsia"/>
                <w:spacing w:val="-5"/>
                <w:sz w:val="24"/>
                <w:lang w:val="en-US" w:eastAsia="zh-CN"/>
              </w:rPr>
              <w:t>一般</w:t>
            </w:r>
            <w:r>
              <w:rPr>
                <w:spacing w:val="-5"/>
                <w:sz w:val="24"/>
              </w:rPr>
              <w:t>的建设项目。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2" w:firstLineChars="200"/>
              <w:jc w:val="left"/>
              <w:textAlignment w:val="auto"/>
              <w:outlineLvl w:val="9"/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</w:pP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建</w:t>
            </w:r>
            <w:r>
              <w:rPr>
                <w:rFonts w:hint="default"/>
                <w:b/>
                <w:bCs/>
                <w:spacing w:val="-5"/>
                <w:sz w:val="24"/>
                <w:lang w:eastAsia="zh-Hans"/>
              </w:rPr>
              <w:t xml:space="preserve">    </w:t>
            </w:r>
            <w:r>
              <w:rPr>
                <w:rFonts w:hint="eastAsia"/>
                <w:b/>
                <w:bCs/>
                <w:spacing w:val="-5"/>
                <w:sz w:val="24"/>
                <w:lang w:val="en-US" w:eastAsia="zh-Hans"/>
              </w:rPr>
              <w:t>议：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防尘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1、拟建项目在对工艺生产中生产设备除尘方面配有一套综合除尘系统。车间内除选用密闭性较好的设备外，对各台设备采用了吸尘措施，特别是对易产生粉尘的清理工段设备采取了强吸风措施。并且为员工佩备了防尘口罩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防噪声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（1）设备的选型尽可能选用噪声低、震动小的设备，对强噪声设备（如风机），在支架下面安装橡胶减震设施，风机进出口采用软连接，以减少风管振动，降低噪声；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（2）对于传输设备的旋转和传动部分以及接近地面的连轴节，传动轴，皮带轮等均装设防护装置;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（3）严格控制夜间作业时段。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（4）对于生产过程和设备产生的噪声，首先从声源上进行控制，以低噪声的工艺和设备代替高噪声的工艺和设备；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（5）采取隔声、吸声等降噪措施，把噪声较大的空压机、风机等布置在独立房间内，土建专业作适当的消声处理；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（6）设置减振、吸振装置，对噪声较高或有振动的设备，如风机、振动清理筛等设备底座设置减震垫，进出口风管采用软联接，减少震动，降低噪声；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（7）定时检查设备的运行状况，发现问题马上排除，防止因设备非正常运行产生的异常噪声；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（8）对于必须在强噪声环境下工作的工人配备耳塞以保护听觉不受损害；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00" w:lineRule="exact"/>
              <w:ind w:left="0" w:leftChars="0" w:right="0" w:rightChars="0" w:firstLine="460" w:firstLineChars="200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b w:val="0"/>
                <w:bCs w:val="0"/>
                <w:spacing w:val="-5"/>
                <w:sz w:val="24"/>
                <w:lang w:val="en-US" w:eastAsia="zh-CN"/>
              </w:rPr>
              <w:t>（9）积极采用行之有效的新技术、新材料、新方法，以降低成本，提高效能，力求获得最佳的经济效益。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b/>
                <w:bCs/>
                <w:sz w:val="24"/>
              </w:rPr>
              <w:t>技术审查专家组评审意见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225" w:type="dxa"/>
            <w:gridSpan w:val="5"/>
            <w:shd w:val="clear" w:color="auto" w:fill="auto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补充完善法律法规相关内容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补充完善总体布局相关内容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/>
              <w:ind w:left="0" w:leftChars="0" w:right="0" w:rightChars="0"/>
              <w:jc w:val="center"/>
              <w:textAlignment w:val="auto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补充完善辅助用室相关内容</w:t>
            </w:r>
          </w:p>
        </w:tc>
      </w:tr>
    </w:tbl>
    <w:p/>
    <w:sectPr>
      <w:headerReference r:id="rId5" w:type="default"/>
      <w:type w:val="continuous"/>
      <w:pgSz w:w="11910" w:h="16840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42" w:type="dxa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085"/>
      <w:gridCol w:w="3543"/>
      <w:gridCol w:w="261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3085" w:type="dxa"/>
          <w:vAlign w:val="center"/>
        </w:tcPr>
        <w:p>
          <w:pPr>
            <w:adjustRightInd w:val="0"/>
            <w:snapToGrid w:val="0"/>
            <w:jc w:val="left"/>
            <w:rPr>
              <w:rFonts w:hint="eastAsia" w:ascii="宋体" w:hAnsi="宋体" w:eastAsia="宋体"/>
              <w:szCs w:val="21"/>
              <w:lang w:val="en-US" w:eastAsia="zh-CN"/>
            </w:rPr>
          </w:pPr>
          <w:r>
            <w:rPr>
              <w:sz w:val="18"/>
            </w:rPr>
            <w:t>文件编号：JLZG/JL-ZK-050</w:t>
          </w:r>
        </w:p>
      </w:tc>
      <w:tc>
        <w:tcPr>
          <w:tcW w:w="3543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rFonts w:hint="eastAsia" w:ascii="宋体" w:hAnsi="宋体"/>
              <w:szCs w:val="21"/>
            </w:rPr>
            <w:t>职业卫生</w:t>
          </w:r>
          <w:r>
            <w:rPr>
              <w:rFonts w:hint="eastAsia"/>
              <w:szCs w:val="21"/>
              <w:lang w:val="en-US" w:eastAsia="zh-Hans"/>
            </w:rPr>
            <w:t>检测评价</w:t>
          </w:r>
          <w:r>
            <w:rPr>
              <w:rFonts w:hint="eastAsia" w:ascii="宋体" w:hAnsi="宋体"/>
              <w:szCs w:val="21"/>
            </w:rPr>
            <w:t>报告网上公示</w:t>
          </w:r>
        </w:p>
      </w:tc>
      <w:tc>
        <w:tcPr>
          <w:tcW w:w="2614" w:type="dxa"/>
          <w:vAlign w:val="center"/>
        </w:tcPr>
        <w:p>
          <w:pPr>
            <w:adjustRightInd w:val="0"/>
            <w:snapToGrid w:val="0"/>
            <w:jc w:val="center"/>
            <w:rPr>
              <w:rFonts w:ascii="宋体" w:hAnsi="宋体"/>
              <w:szCs w:val="21"/>
            </w:rPr>
          </w:pPr>
          <w:r>
            <w:rPr>
              <w:sz w:val="18"/>
            </w:rPr>
            <w:t>吉林省正光安全科技有限公司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54" w:hRule="atLeast"/>
      </w:trPr>
      <w:tc>
        <w:tcPr>
          <w:tcW w:w="9242" w:type="dxa"/>
          <w:gridSpan w:val="3"/>
          <w:vAlign w:val="center"/>
        </w:tcPr>
        <w:p>
          <w:pPr>
            <w:adjustRightInd w:val="0"/>
            <w:snapToGrid w:val="0"/>
            <w:rPr>
              <w:rFonts w:ascii="宋体" w:hAnsi="宋体"/>
              <w:sz w:val="18"/>
              <w:szCs w:val="18"/>
            </w:rPr>
          </w:pPr>
          <w:r>
            <w:rPr>
              <w:rFonts w:hint="eastAsia" w:ascii="宋体" w:hAnsi="宋体"/>
              <w:sz w:val="18"/>
              <w:szCs w:val="18"/>
            </w:rPr>
            <w:t xml:space="preserve">项目编号：吉正光职   </w:t>
          </w:r>
          <w:r>
            <w:rPr>
              <w:rFonts w:hint="eastAsia"/>
              <w:sz w:val="18"/>
              <w:szCs w:val="18"/>
              <w:lang w:val="en-US" w:eastAsia="zh-CN"/>
            </w:rPr>
            <w:t>预</w:t>
          </w:r>
          <w:r>
            <w:rPr>
              <w:rFonts w:hint="eastAsia" w:ascii="宋体" w:hAnsi="宋体"/>
              <w:sz w:val="18"/>
              <w:szCs w:val="18"/>
            </w:rPr>
            <w:t xml:space="preserve"> 评（</w:t>
          </w:r>
          <w:r>
            <w:rPr>
              <w:rFonts w:hint="eastAsia"/>
              <w:sz w:val="18"/>
              <w:szCs w:val="18"/>
              <w:lang w:val="en-US" w:eastAsia="zh-CN"/>
            </w:rPr>
            <w:t>2021</w:t>
          </w:r>
          <w:r>
            <w:rPr>
              <w:rFonts w:hint="eastAsia" w:ascii="宋体" w:hAnsi="宋体"/>
              <w:sz w:val="18"/>
              <w:szCs w:val="18"/>
            </w:rPr>
            <w:t xml:space="preserve">）第 </w:t>
          </w:r>
          <w:r>
            <w:rPr>
              <w:rFonts w:hint="eastAsia"/>
              <w:sz w:val="18"/>
              <w:szCs w:val="18"/>
              <w:lang w:val="en-US" w:eastAsia="zh-CN"/>
            </w:rPr>
            <w:t>022</w:t>
          </w:r>
          <w:r>
            <w:rPr>
              <w:rFonts w:hint="eastAsia" w:ascii="宋体" w:hAnsi="宋体"/>
              <w:sz w:val="18"/>
              <w:szCs w:val="18"/>
            </w:rPr>
            <w:t xml:space="preserve">  号</w:t>
          </w:r>
          <w:r>
            <w:rPr>
              <w:rFonts w:hint="eastAsia" w:ascii="宋体" w:hAnsi="宋体"/>
              <w:sz w:val="18"/>
              <w:szCs w:val="18"/>
            </w:rPr>
            <w:tab/>
          </w:r>
          <w:r>
            <w:rPr>
              <w:rFonts w:hint="eastAsia" w:ascii="宋体" w:hAnsi="宋体"/>
              <w:sz w:val="18"/>
              <w:szCs w:val="18"/>
            </w:rPr>
            <w:t xml:space="preserve">                                   第    页共    页</w:t>
          </w:r>
        </w:p>
      </w:tc>
    </w:tr>
  </w:tbl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97613"/>
    <w:multiLevelType w:val="singleLevel"/>
    <w:tmpl w:val="59A976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F571051"/>
    <w:rsid w:val="3121685C"/>
    <w:rsid w:val="3FBFE734"/>
    <w:rsid w:val="425E1BD5"/>
    <w:rsid w:val="43603BFF"/>
    <w:rsid w:val="7AEE71B8"/>
    <w:rsid w:val="7FBF320B"/>
    <w:rsid w:val="F7FFEDE5"/>
    <w:rsid w:val="FEDF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520" w:lineRule="exact"/>
      <w:ind w:firstLine="763" w:firstLineChars="200"/>
    </w:pPr>
    <w:rPr>
      <w:rFonts w:ascii="Times New Roman" w:hAnsi="Times New Roman" w:eastAsia="仿宋_GB2312"/>
      <w:sz w:val="28"/>
      <w:szCs w:val="20"/>
    </w:rPr>
  </w:style>
  <w:style w:type="paragraph" w:styleId="3">
    <w:name w:val="Body Text"/>
    <w:basedOn w:val="1"/>
    <w:qFormat/>
    <w:uiPriority w:val="1"/>
    <w:rPr>
      <w:rFonts w:ascii="FZXiaoBiaoSong-B05S" w:hAnsi="FZXiaoBiaoSong-B05S" w:eastAsia="FZXiaoBiaoSong-B05S" w:cs="FZXiaoBiaoSong-B05S"/>
      <w:sz w:val="36"/>
      <w:szCs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101"/>
      <w:ind w:left="107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2021-11-10T16:38:00Z</dcterms:created>
  <dc:creator>李红丽</dc:creator>
  <cp:lastModifiedBy>WPS_1552611389</cp:lastModifiedBy>
  <dcterms:modified xsi:type="dcterms:W3CDTF">2021-11-10T01:35:44Z</dcterms:modified>
  <dc:title>职业卫生评价报告网上公示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2021-11-10T00:00:00Z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F2D97F7B09104D918694C602ED1A1E8F</vt:lpwstr>
  </property>
</Properties>
</file>