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7"/>
        <w:rPr>
          <w:sz w:val="8"/>
        </w:rPr>
      </w:pPr>
    </w:p>
    <w:tbl>
      <w:tblPr>
        <w:tblStyle w:val="11"/>
        <w:tblW w:w="9225"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856"/>
        <w:gridCol w:w="3005"/>
        <w:gridCol w:w="1907"/>
        <w:gridCol w:w="118"/>
        <w:gridCol w:w="2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567" w:hRule="atLeast"/>
        </w:trPr>
        <w:tc>
          <w:tcPr>
            <w:tcW w:w="1856" w:type="dxa"/>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b/>
                <w:bCs/>
                <w:sz w:val="24"/>
              </w:rPr>
            </w:pPr>
            <w:r>
              <w:rPr>
                <w:b/>
                <w:bCs/>
                <w:sz w:val="24"/>
              </w:rPr>
              <w:t>建设单位</w:t>
            </w:r>
          </w:p>
        </w:tc>
        <w:tc>
          <w:tcPr>
            <w:tcW w:w="7369" w:type="dxa"/>
            <w:gridSpan w:val="4"/>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rFonts w:hint="eastAsia"/>
                <w:sz w:val="24"/>
                <w:lang w:eastAsia="zh-CN"/>
              </w:rPr>
              <w:t>白山市融达矿业有限责任公司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567" w:hRule="atLeast"/>
        </w:trPr>
        <w:tc>
          <w:tcPr>
            <w:tcW w:w="1856" w:type="dxa"/>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宋体"/>
                <w:b/>
                <w:bCs/>
                <w:sz w:val="24"/>
                <w:lang w:val="en-US" w:eastAsia="zh-Hans"/>
              </w:rPr>
            </w:pPr>
            <w:r>
              <w:rPr>
                <w:rFonts w:hint="eastAsia"/>
                <w:b/>
                <w:bCs/>
                <w:sz w:val="24"/>
                <w:lang w:val="en-US" w:eastAsia="zh-Hans"/>
              </w:rPr>
              <w:t>项目类别</w:t>
            </w:r>
          </w:p>
        </w:tc>
        <w:tc>
          <w:tcPr>
            <w:tcW w:w="7369" w:type="dxa"/>
            <w:gridSpan w:val="4"/>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sz w:val="24"/>
              </w:rPr>
            </w:pPr>
            <w:r>
              <w:rPr>
                <w:rFonts w:hint="eastAsia"/>
              </w:rPr>
              <w:t xml:space="preserve">□预评 </w:t>
            </w:r>
            <w:r>
              <w:t xml:space="preserve">       </w:t>
            </w:r>
            <w:r>
              <w:rPr>
                <w:rFonts w:hint="eastAsia"/>
              </w:rPr>
              <w:sym w:font="Wingdings 2" w:char="00A3"/>
            </w:r>
            <w:r>
              <w:rPr>
                <w:rFonts w:hint="eastAsia"/>
              </w:rPr>
              <w:t xml:space="preserve">控评 </w:t>
            </w:r>
            <w:r>
              <w:t xml:space="preserve">      </w:t>
            </w:r>
            <w:r>
              <w:rPr>
                <w:rFonts w:eastAsia="仿宋_GB2312"/>
                <w:sz w:val="28"/>
                <w:szCs w:val="28"/>
              </w:rPr>
              <w:sym w:font="Wingdings 2" w:char="0052"/>
            </w:r>
            <w:r>
              <w:rPr>
                <w:rFonts w:hint="eastAsia"/>
              </w:rPr>
              <w:t xml:space="preserve">现评 </w:t>
            </w:r>
            <w:r>
              <w:t xml:space="preserve">       </w:t>
            </w:r>
            <w:r>
              <w:rPr>
                <w:rFonts w:hint="eastAsia"/>
              </w:rPr>
              <w:sym w:font="Wingdings 2" w:char="00A3"/>
            </w:r>
            <w:r>
              <w:rPr>
                <w:rFonts w:hint="eastAsia"/>
                <w:lang w:val="en-US" w:eastAsia="zh-Hans"/>
              </w:rPr>
              <w:t>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567" w:hRule="atLeast"/>
        </w:trPr>
        <w:tc>
          <w:tcPr>
            <w:tcW w:w="1856" w:type="dxa"/>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b/>
                <w:bCs/>
                <w:sz w:val="24"/>
              </w:rPr>
            </w:pPr>
            <w:r>
              <w:rPr>
                <w:b/>
                <w:bCs/>
                <w:sz w:val="24"/>
              </w:rPr>
              <w:t>项目地址</w:t>
            </w:r>
          </w:p>
        </w:tc>
        <w:tc>
          <w:tcPr>
            <w:tcW w:w="7369" w:type="dxa"/>
            <w:gridSpan w:val="4"/>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lang w:val="en-US"/>
              </w:rPr>
            </w:pPr>
            <w:r>
              <w:rPr>
                <w:rFonts w:hint="eastAsia"/>
                <w:sz w:val="24"/>
                <w:lang w:val="en-US" w:eastAsia="zh-CN"/>
              </w:rPr>
              <w:t>白山市融达矿业有限责任公司白山市浑江区双顶金矿位于白山市浑江区，距离红土崖镇河东村5公里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567" w:hRule="atLeast"/>
        </w:trPr>
        <w:tc>
          <w:tcPr>
            <w:tcW w:w="1856" w:type="dxa"/>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b/>
                <w:bCs/>
                <w:sz w:val="24"/>
              </w:rPr>
            </w:pPr>
            <w:r>
              <w:rPr>
                <w:b/>
                <w:bCs/>
                <w:sz w:val="24"/>
              </w:rPr>
              <w:t>联系人</w:t>
            </w:r>
          </w:p>
        </w:tc>
        <w:tc>
          <w:tcPr>
            <w:tcW w:w="3005" w:type="dxa"/>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eastAsia="宋体"/>
                <w:sz w:val="24"/>
                <w:lang w:val="en-US" w:eastAsia="zh-CN"/>
              </w:rPr>
            </w:pPr>
            <w:r>
              <w:rPr>
                <w:rFonts w:hint="eastAsia"/>
                <w:sz w:val="24"/>
                <w:lang w:val="en-US" w:eastAsia="zh-CN"/>
              </w:rPr>
              <w:t xml:space="preserve"> 王世波  </w:t>
            </w:r>
          </w:p>
        </w:tc>
        <w:tc>
          <w:tcPr>
            <w:tcW w:w="1907" w:type="dxa"/>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eastAsia" w:eastAsia="宋体"/>
                <w:sz w:val="24"/>
                <w:lang w:val="en-US" w:eastAsia="zh-Hans"/>
              </w:rPr>
            </w:pPr>
            <w:r>
              <w:rPr>
                <w:rFonts w:hint="eastAsia"/>
                <w:b/>
                <w:bCs/>
                <w:sz w:val="24"/>
                <w:lang w:val="en-US" w:eastAsia="zh-Hans"/>
              </w:rPr>
              <w:t>电话</w:t>
            </w:r>
          </w:p>
        </w:tc>
        <w:tc>
          <w:tcPr>
            <w:tcW w:w="2457" w:type="dxa"/>
            <w:gridSpan w:val="2"/>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sz w:val="24"/>
                <w:lang w:val="en-US"/>
              </w:rPr>
            </w:pPr>
            <w:r>
              <w:rPr>
                <w:rFonts w:hint="eastAsia"/>
                <w:sz w:val="24"/>
                <w:lang w:val="en-US" w:eastAsia="zh-CN"/>
              </w:rPr>
              <w:t xml:space="preserve">13644322198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sz w:val="24"/>
              </w:rPr>
            </w:pPr>
            <w:r>
              <w:rPr>
                <w:b/>
                <w:bCs/>
                <w:sz w:val="24"/>
              </w:rPr>
              <w:t>项目名称及简介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1248" w:hRule="atLeast"/>
        </w:trPr>
        <w:tc>
          <w:tcPr>
            <w:tcW w:w="9225" w:type="dxa"/>
            <w:gridSpan w:val="5"/>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sz w:val="24"/>
                <w:lang w:val="en-US" w:eastAsia="zh-CN"/>
              </w:rPr>
            </w:pPr>
            <w:r>
              <w:rPr>
                <w:rFonts w:hint="default"/>
                <w:sz w:val="24"/>
                <w:lang w:val="en-US" w:eastAsia="zh-CN"/>
              </w:rPr>
              <w:t>白山市融达矿业有限责任公司白山市浑江区双顶金矿工作场所职业病危害现状评价报告</w:t>
            </w:r>
          </w:p>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firstLine="480" w:firstLineChars="200"/>
              <w:jc w:val="both"/>
              <w:textAlignment w:val="auto"/>
              <w:rPr>
                <w:sz w:val="24"/>
              </w:rPr>
            </w:pPr>
            <w:r>
              <w:rPr>
                <w:rFonts w:hint="default"/>
                <w:sz w:val="24"/>
                <w:lang w:val="en-US" w:eastAsia="zh-CN"/>
              </w:rPr>
              <w:t>白山市融达矿业有限责任公司，注册地址为吉林省白山市浑江区三道沟镇，注册资金200万，公司成立于2006年4月25日，主要经营：矿产资源勘查（依法须经批准的项目，经相关部门批准后方可开阵经营活动）。</w:t>
            </w:r>
          </w:p>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both"/>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现场调查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567" w:hRule="atLeast"/>
        </w:trPr>
        <w:tc>
          <w:tcPr>
            <w:tcW w:w="1856" w:type="dxa"/>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现场调查时间</w:t>
            </w:r>
          </w:p>
        </w:tc>
        <w:tc>
          <w:tcPr>
            <w:tcW w:w="3005" w:type="dxa"/>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ascii="Times New Roman" w:hAnsi="Times New Roman" w:eastAsia="宋体" w:cs="Times New Roman"/>
                <w:sz w:val="24"/>
                <w:lang w:val="en-US" w:eastAsia="zh-CN"/>
              </w:rPr>
            </w:pPr>
            <w:r>
              <w:rPr>
                <w:rFonts w:hint="eastAsia"/>
                <w:sz w:val="24"/>
                <w:lang w:val="en-US" w:eastAsia="zh-CN"/>
              </w:rPr>
              <w:t xml:space="preserve">2021.4.9 </w:t>
            </w:r>
            <w:r>
              <w:rPr>
                <w:rFonts w:hint="eastAsia" w:ascii="Times New Roman" w:hAnsi="Times New Roman" w:cs="Times New Roman"/>
                <w:sz w:val="24"/>
                <w:lang w:val="en-US" w:eastAsia="zh-CN"/>
              </w:rPr>
              <w:t xml:space="preserve"> </w:t>
            </w:r>
          </w:p>
        </w:tc>
        <w:tc>
          <w:tcPr>
            <w:tcW w:w="2025" w:type="dxa"/>
            <w:gridSpan w:val="2"/>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建设单位陪同人</w:t>
            </w:r>
          </w:p>
        </w:tc>
        <w:tc>
          <w:tcPr>
            <w:tcW w:w="2339" w:type="dxa"/>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sz w:val="24"/>
                <w:lang w:val="en-US"/>
              </w:rPr>
            </w:pPr>
            <w:r>
              <w:rPr>
                <w:rFonts w:hint="eastAsia"/>
                <w:sz w:val="24"/>
                <w:lang w:val="en-US" w:eastAsia="zh-CN"/>
              </w:rPr>
              <w:t xml:space="preserve"> 王世波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ascii="Times New Roman" w:hAnsi="Times New Roman" w:cs="Times New Roman"/>
                <w:sz w:val="24"/>
              </w:rPr>
            </w:pPr>
            <w:r>
              <w:rPr>
                <w:rFonts w:hint="default" w:ascii="Times New Roman" w:hAnsi="Times New Roman" w:cs="Times New Roman"/>
                <w:b/>
                <w:bCs/>
                <w:sz w:val="24"/>
              </w:rPr>
              <w:t>采样、检测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567" w:hRule="atLeast"/>
        </w:trPr>
        <w:tc>
          <w:tcPr>
            <w:tcW w:w="1856" w:type="dxa"/>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sz w:val="24"/>
              </w:rPr>
            </w:pPr>
            <w:r>
              <w:rPr>
                <w:b/>
                <w:bCs/>
                <w:sz w:val="24"/>
              </w:rPr>
              <w:t>采样、检测时间</w:t>
            </w:r>
          </w:p>
        </w:tc>
        <w:tc>
          <w:tcPr>
            <w:tcW w:w="3005" w:type="dxa"/>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ascii="Times New Roman" w:hAnsi="Times New Roman" w:cs="Times New Roman"/>
                <w:sz w:val="24"/>
                <w:lang w:val="en-US"/>
              </w:rPr>
            </w:pPr>
            <w:r>
              <w:rPr>
                <w:rFonts w:hint="eastAsia" w:ascii="Times New Roman" w:hAnsi="Times New Roman" w:cs="Times New Roman"/>
                <w:sz w:val="24"/>
                <w:lang w:val="en-US" w:eastAsia="zh-CN"/>
              </w:rPr>
              <w:t xml:space="preserve">  2021.4.9-11</w:t>
            </w:r>
          </w:p>
        </w:tc>
        <w:tc>
          <w:tcPr>
            <w:tcW w:w="2025" w:type="dxa"/>
            <w:gridSpan w:val="2"/>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建设单位陪同人</w:t>
            </w:r>
          </w:p>
        </w:tc>
        <w:tc>
          <w:tcPr>
            <w:tcW w:w="2339" w:type="dxa"/>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ascii="Calibri"/>
                <w:sz w:val="24"/>
              </w:rPr>
            </w:pPr>
            <w:r>
              <w:rPr>
                <w:rFonts w:hint="eastAsia"/>
                <w:sz w:val="24"/>
                <w:lang w:val="en-US" w:eastAsia="zh-CN"/>
              </w:rPr>
              <w:t xml:space="preserve"> 王世波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建设项目存在的主要职业病危害因素及检测结果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1248" w:hRule="atLeast"/>
        </w:trPr>
        <w:tc>
          <w:tcPr>
            <w:tcW w:w="9225" w:type="dxa"/>
            <w:gridSpan w:val="5"/>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rFonts w:hint="eastAsia" w:eastAsia="宋体"/>
                <w:b/>
                <w:bCs/>
                <w:spacing w:val="-5"/>
                <w:sz w:val="24"/>
                <w:lang w:val="en-US" w:eastAsia="zh-CN"/>
              </w:rPr>
            </w:pPr>
            <w:r>
              <w:rPr>
                <w:rFonts w:hint="eastAsia"/>
                <w:b/>
                <w:bCs/>
                <w:spacing w:val="-5"/>
                <w:sz w:val="24"/>
                <w:lang w:val="en-US" w:eastAsia="zh-Hans"/>
              </w:rPr>
              <w:t>主要存在的职业病危害因素：矽尘；一氧化碳、二氧化氮、二氧化硫、氨</w:t>
            </w:r>
            <w:r>
              <w:rPr>
                <w:rFonts w:hint="eastAsia"/>
                <w:b/>
                <w:bCs/>
                <w:spacing w:val="-5"/>
                <w:sz w:val="24"/>
                <w:lang w:val="en-US" w:eastAsia="zh-CN"/>
              </w:rPr>
              <w:t>、</w:t>
            </w:r>
            <w:r>
              <w:rPr>
                <w:rFonts w:hint="eastAsia"/>
                <w:b/>
                <w:bCs/>
                <w:spacing w:val="-5"/>
                <w:sz w:val="24"/>
                <w:lang w:val="en-US" w:eastAsia="zh-Hans"/>
              </w:rPr>
              <w:t>噪声、工频电场</w:t>
            </w:r>
            <w:r>
              <w:rPr>
                <w:rFonts w:hint="eastAsia"/>
                <w:b/>
                <w:bCs/>
                <w:spacing w:val="-5"/>
                <w:sz w:val="24"/>
                <w:lang w:val="en-US" w:eastAsia="zh-CN"/>
              </w:rPr>
              <w:t>。</w:t>
            </w:r>
          </w:p>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rFonts w:hint="eastAsia"/>
                <w:b/>
                <w:bCs/>
                <w:spacing w:val="-5"/>
                <w:sz w:val="24"/>
                <w:lang w:val="en-US" w:eastAsia="zh-Hans"/>
              </w:rPr>
            </w:pPr>
            <w:r>
              <w:rPr>
                <w:rFonts w:hint="eastAsia"/>
                <w:b/>
                <w:bCs/>
                <w:spacing w:val="-5"/>
                <w:sz w:val="24"/>
                <w:lang w:val="en-US" w:eastAsia="zh-Hans"/>
              </w:rPr>
              <w:t>检测结果：</w:t>
            </w:r>
          </w:p>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CN"/>
              </w:rPr>
            </w:pPr>
            <w:r>
              <w:rPr>
                <w:rFonts w:hint="eastAsia"/>
                <w:b w:val="0"/>
                <w:bCs w:val="0"/>
                <w:spacing w:val="-5"/>
                <w:sz w:val="24"/>
                <w:lang w:val="en-US" w:eastAsia="zh-CN"/>
              </w:rPr>
              <w:t>粉尘：用人单位接触粉尘岗位的时间加权平均浓度均符合《工作场所有害因素职业接触限值 第1部分：化学有害因素》（GBZ2.1-2019）的规定。</w:t>
            </w:r>
          </w:p>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CN"/>
              </w:rPr>
            </w:pPr>
            <w:r>
              <w:rPr>
                <w:rFonts w:hint="eastAsia"/>
                <w:b w:val="0"/>
                <w:bCs w:val="0"/>
                <w:spacing w:val="-5"/>
                <w:sz w:val="24"/>
                <w:lang w:val="en-US" w:eastAsia="zh-CN"/>
              </w:rPr>
              <w:t>化学有害物质：用人单位凿岩工、清运工接触氨、二氧化氮、二氧化硫、一氧化碳的时间加权平均浓度均符合《工作场所有害因素职业接触限值 第1部分：化学有害因素》（GBZ2.1-2019）的规定。</w:t>
            </w:r>
          </w:p>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CN"/>
              </w:rPr>
            </w:pPr>
            <w:r>
              <w:rPr>
                <w:rFonts w:hint="eastAsia"/>
                <w:b w:val="0"/>
                <w:bCs w:val="0"/>
                <w:spacing w:val="-5"/>
                <w:sz w:val="24"/>
                <w:lang w:val="en-US" w:eastAsia="zh-CN"/>
              </w:rPr>
              <w:t>物理有害因素：用人单位除凿岩工接触噪声的8h等效连续A声级不符合《工作场所有害因素职业接触限值 第2部分：物理因素》（GBZ2.2-2007）的规定，其余各岗位接触噪声的8h等效连续A声级均符合《工作场所有害因素职业接触限值 第2部分：物理因素》（GBZ2.2-2007）的规定。</w:t>
            </w:r>
          </w:p>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sz w:val="24"/>
              </w:rPr>
            </w:pPr>
            <w:r>
              <w:rPr>
                <w:rFonts w:hint="eastAsia"/>
                <w:b w:val="0"/>
                <w:bCs w:val="0"/>
                <w:spacing w:val="-5"/>
                <w:sz w:val="24"/>
                <w:lang w:val="en-US" w:eastAsia="zh-CN"/>
              </w:rPr>
              <w:t>用人单位电工接触工频电场强度符合《工作场所有害因素职业接触限值第2部分：物理因素》（GBZ2.2-2007）的规定。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624" w:hRule="atLeast"/>
        </w:trPr>
        <w:tc>
          <w:tcPr>
            <w:tcW w:w="9225" w:type="dxa"/>
            <w:gridSpan w:val="5"/>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评价结论与建议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0" w:hRule="atLeast"/>
        </w:trPr>
        <w:tc>
          <w:tcPr>
            <w:tcW w:w="9225" w:type="dxa"/>
            <w:gridSpan w:val="5"/>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spacing w:val="-5"/>
                <w:sz w:val="24"/>
              </w:rPr>
            </w:pPr>
            <w:r>
              <w:rPr>
                <w:rFonts w:hint="eastAsia"/>
                <w:b/>
                <w:bCs/>
                <w:spacing w:val="-5"/>
                <w:sz w:val="24"/>
                <w:lang w:val="en-US" w:eastAsia="zh-Hans"/>
              </w:rPr>
              <w:t>评价结论：</w:t>
            </w:r>
            <w:r>
              <w:rPr>
                <w:spacing w:val="-5"/>
                <w:sz w:val="24"/>
              </w:rPr>
              <w:t>本项目属于职业病危害</w:t>
            </w:r>
            <w:r>
              <w:rPr>
                <w:rFonts w:hint="eastAsia"/>
                <w:spacing w:val="-5"/>
                <w:sz w:val="24"/>
                <w:lang w:val="en-US" w:eastAsia="zh-CN"/>
              </w:rPr>
              <w:t>严重</w:t>
            </w:r>
            <w:r>
              <w:rPr>
                <w:spacing w:val="-5"/>
                <w:sz w:val="24"/>
              </w:rPr>
              <w:t>的建设项目。</w:t>
            </w:r>
          </w:p>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建</w:t>
            </w:r>
            <w:r>
              <w:rPr>
                <w:rFonts w:hint="default"/>
                <w:b w:val="0"/>
                <w:bCs w:val="0"/>
                <w:spacing w:val="-5"/>
                <w:sz w:val="24"/>
                <w:lang w:eastAsia="zh-Hans"/>
              </w:rPr>
              <w:t xml:space="preserve">    </w:t>
            </w:r>
            <w:r>
              <w:rPr>
                <w:rFonts w:hint="eastAsia"/>
                <w:b w:val="0"/>
                <w:bCs w:val="0"/>
                <w:spacing w:val="-5"/>
                <w:sz w:val="24"/>
                <w:lang w:val="en-US" w:eastAsia="zh-Hans"/>
              </w:rPr>
              <w:t>议：</w:t>
            </w:r>
          </w:p>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eastAsia="宋体"/>
                <w:b w:val="0"/>
                <w:bCs w:val="0"/>
                <w:spacing w:val="-5"/>
                <w:sz w:val="24"/>
                <w:lang w:val="en-US" w:eastAsia="zh-CN"/>
              </w:rPr>
            </w:pPr>
            <w:r>
              <w:rPr>
                <w:rFonts w:hint="eastAsia" w:eastAsia="宋体"/>
                <w:b w:val="0"/>
                <w:bCs w:val="0"/>
                <w:spacing w:val="-5"/>
                <w:sz w:val="24"/>
                <w:lang w:val="en-US" w:eastAsia="zh-CN"/>
              </w:rPr>
              <w:t>职业卫生管理</w:t>
            </w:r>
          </w:p>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CN"/>
              </w:rPr>
            </w:pPr>
            <w:r>
              <w:rPr>
                <w:rFonts w:hint="eastAsia" w:eastAsia="宋体"/>
                <w:b w:val="0"/>
                <w:bCs w:val="0"/>
                <w:spacing w:val="-5"/>
                <w:sz w:val="24"/>
                <w:lang w:val="en-US" w:eastAsia="zh-CN"/>
              </w:rPr>
              <w:t>根据企业发展及职业卫生相关标准的更新，持续完善职业卫生管理工作，按《工作场所职业卫生监督管理规定》（国家安全生产监督管理总局令[2012]47号）、《职业卫生档案管理规范》（安监总厅安健[20</w:t>
            </w:r>
            <w:bookmarkStart w:id="0" w:name="_GoBack"/>
            <w:bookmarkEnd w:id="0"/>
            <w:r>
              <w:rPr>
                <w:rFonts w:hint="eastAsia" w:eastAsia="宋体"/>
                <w:b w:val="0"/>
                <w:bCs w:val="0"/>
                <w:spacing w:val="-5"/>
                <w:sz w:val="24"/>
                <w:lang w:val="en-US" w:eastAsia="zh-CN"/>
              </w:rPr>
              <w:t>13]171号）、《用人单位职业病危害告知与警示标识管理规范 》等标准要求，对职业卫生相关管理制度制定情况、职业病防治规划及实施方案的执行情况、职业健康体检开展情况、健康监护档案建立情况、警示标识设置等情况进一步完善。每年定期委托有资质的职业卫生技术服务机构对作业场所存在的职业病危害因素进行检测与评价</w:t>
            </w:r>
            <w:r>
              <w:rPr>
                <w:rFonts w:hint="eastAsia"/>
                <w:b w:val="0"/>
                <w:bCs w:val="0"/>
                <w:spacing w:val="-5"/>
                <w:sz w:val="24"/>
                <w:lang w:val="en-US" w:eastAsia="zh-CN"/>
              </w:rPr>
              <w:t>。</w:t>
            </w:r>
          </w:p>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CN"/>
              </w:rPr>
            </w:pPr>
            <w:r>
              <w:rPr>
                <w:rFonts w:hint="eastAsia"/>
                <w:b w:val="0"/>
                <w:bCs w:val="0"/>
                <w:spacing w:val="-5"/>
                <w:sz w:val="24"/>
                <w:lang w:val="en-US" w:eastAsia="zh-CN"/>
              </w:rPr>
              <w:t>职业卫生防护设施</w:t>
            </w:r>
          </w:p>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CN"/>
              </w:rPr>
            </w:pPr>
            <w:r>
              <w:rPr>
                <w:rFonts w:hint="eastAsia"/>
                <w:b w:val="0"/>
                <w:bCs w:val="0"/>
                <w:spacing w:val="-5"/>
                <w:sz w:val="24"/>
                <w:lang w:val="en-US" w:eastAsia="zh-CN"/>
              </w:rPr>
              <w:t>定期对通风、除尘、防毒等防护设施进行维护、检修，并检测其性能和效果，以确保防护设施处于正常工作状态。要特别注意生产装置检修过程中的职业病危害事故的预防。</w:t>
            </w:r>
          </w:p>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CN"/>
              </w:rPr>
            </w:pPr>
            <w:r>
              <w:rPr>
                <w:rFonts w:hint="eastAsia"/>
                <w:b w:val="0"/>
                <w:bCs w:val="0"/>
                <w:spacing w:val="-5"/>
                <w:sz w:val="24"/>
                <w:lang w:val="en-US" w:eastAsia="zh-CN"/>
              </w:rPr>
              <w:t>生产装置运行过程中，必须开启所有的防毒设备设施。保证工作场所中有害物质低于国家规定的限值。工人进入高噪声作业场所时，必须佩戴防噪声耳塞。</w:t>
            </w:r>
          </w:p>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CN"/>
              </w:rPr>
            </w:pPr>
            <w:r>
              <w:rPr>
                <w:rFonts w:hint="eastAsia"/>
                <w:b w:val="0"/>
                <w:bCs w:val="0"/>
                <w:spacing w:val="-5"/>
                <w:sz w:val="24"/>
                <w:lang w:val="en-US" w:eastAsia="zh-CN"/>
              </w:rPr>
              <w:t>个人防护用品</w:t>
            </w:r>
          </w:p>
          <w:p>
            <w:pPr>
              <w:pStyle w:val="1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eastAsia="宋体"/>
                <w:b w:val="0"/>
                <w:bCs w:val="0"/>
                <w:spacing w:val="-5"/>
                <w:sz w:val="24"/>
                <w:lang w:val="en-US" w:eastAsia="zh-CN"/>
              </w:rPr>
            </w:pPr>
            <w:r>
              <w:rPr>
                <w:rFonts w:hint="eastAsia"/>
                <w:b w:val="0"/>
                <w:bCs w:val="0"/>
                <w:spacing w:val="-5"/>
                <w:sz w:val="24"/>
                <w:lang w:val="en-US" w:eastAsia="zh-CN"/>
              </w:rPr>
              <w:t>加大对防护用品使用的监督检查力度，特别是各车间易产生粉尘的作业岗位，防止操作人员出现大意松懈导致的防护不到位而遭到职业病危害因素的影响，使个人防护用品能够切实起到降低职业危害的作用。同时公司要强化相关管理制度落实，对个人防护用品应经常检查、更新，以保证使用的个人防护用品是安全和有效的</w:t>
            </w:r>
          </w:p>
        </w:tc>
      </w:tr>
    </w:tbl>
    <w:p/>
    <w:sectPr>
      <w:headerReference r:id="rId3" w:type="default"/>
      <w:type w:val="continuous"/>
      <w:pgSz w:w="11910" w:h="16840"/>
      <w:pgMar w:top="1440" w:right="1440" w:bottom="1440" w:left="1440" w:header="720" w:footer="720" w:gutter="0"/>
      <w:pgBorders>
        <w:top w:val="none" w:sz="0" w:space="0"/>
        <w:left w:val="none" w:sz="0" w:space="0"/>
        <w:bottom w:val="none" w:sz="0" w:space="0"/>
        <w:right w:val="none" w:sz="0" w:space="0"/>
      </w:pgBorders>
      <w:pgNumType w:fmt="decimal"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FZXiaoBiaoSong-B05S">
    <w:altName w:val="宋体"/>
    <w:panose1 w:val="03000509000000000000"/>
    <w:charset w:val="86"/>
    <w:family w:val="script"/>
    <w:pitch w:val="default"/>
    <w:sig w:usb0="00000000" w:usb1="00000000" w:usb2="00000000" w:usb3="00000000" w:csb0="00040000" w:csb1="00000000"/>
  </w:font>
  <w:font w:name="DejaVu Sans">
    <w:altName w:val="Times New Roman"/>
    <w:panose1 w:val="02020603050405020304"/>
    <w:charset w:val="00"/>
    <w:family w:val="roman"/>
    <w:pitch w:val="default"/>
    <w:sig w:usb0="00000000" w:usb1="00000000" w:usb2="00000008" w:usb3="00000000" w:csb0="000001FF" w:csb1="00000000"/>
  </w:font>
  <w:font w:name="Wingdings 2">
    <w:panose1 w:val="050201020105070707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9242"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85"/>
      <w:gridCol w:w="3543"/>
      <w:gridCol w:w="261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3085" w:type="dxa"/>
          <w:vAlign w:val="center"/>
        </w:tcPr>
        <w:p>
          <w:pPr>
            <w:adjustRightInd w:val="0"/>
            <w:snapToGrid w:val="0"/>
            <w:jc w:val="left"/>
            <w:rPr>
              <w:rFonts w:hint="eastAsia" w:ascii="宋体" w:hAnsi="宋体" w:eastAsia="宋体"/>
              <w:szCs w:val="21"/>
              <w:lang w:val="en-US" w:eastAsia="zh-CN"/>
            </w:rPr>
          </w:pPr>
          <w:r>
            <w:rPr>
              <w:sz w:val="18"/>
            </w:rPr>
            <w:t>文件编号：JLZG/JL-ZK-050</w:t>
          </w:r>
        </w:p>
      </w:tc>
      <w:tc>
        <w:tcPr>
          <w:tcW w:w="3543" w:type="dxa"/>
          <w:vAlign w:val="center"/>
        </w:tcPr>
        <w:p>
          <w:pPr>
            <w:adjustRightInd w:val="0"/>
            <w:snapToGrid w:val="0"/>
            <w:jc w:val="center"/>
            <w:rPr>
              <w:rFonts w:ascii="宋体" w:hAnsi="宋体"/>
              <w:szCs w:val="21"/>
            </w:rPr>
          </w:pPr>
          <w:r>
            <w:rPr>
              <w:rFonts w:hint="eastAsia" w:ascii="宋体" w:hAnsi="宋体"/>
              <w:szCs w:val="21"/>
            </w:rPr>
            <w:t>职业卫生</w:t>
          </w:r>
          <w:r>
            <w:rPr>
              <w:rFonts w:hint="eastAsia"/>
              <w:szCs w:val="21"/>
              <w:lang w:val="en-US" w:eastAsia="zh-Hans"/>
            </w:rPr>
            <w:t>检测评价</w:t>
          </w:r>
          <w:r>
            <w:rPr>
              <w:rFonts w:hint="eastAsia" w:ascii="宋体" w:hAnsi="宋体"/>
              <w:szCs w:val="21"/>
            </w:rPr>
            <w:t>报告网上公示</w:t>
          </w:r>
        </w:p>
      </w:tc>
      <w:tc>
        <w:tcPr>
          <w:tcW w:w="2614" w:type="dxa"/>
          <w:vAlign w:val="center"/>
        </w:tcPr>
        <w:p>
          <w:pPr>
            <w:adjustRightInd w:val="0"/>
            <w:snapToGrid w:val="0"/>
            <w:jc w:val="center"/>
            <w:rPr>
              <w:rFonts w:ascii="宋体" w:hAnsi="宋体"/>
              <w:szCs w:val="21"/>
            </w:rPr>
          </w:pPr>
          <w:r>
            <w:rPr>
              <w:sz w:val="18"/>
            </w:rPr>
            <w:t>吉林省正光安全科技有限公司</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242" w:type="dxa"/>
          <w:gridSpan w:val="3"/>
          <w:vAlign w:val="center"/>
        </w:tcPr>
        <w:p>
          <w:pPr>
            <w:adjustRightInd w:val="0"/>
            <w:snapToGrid w:val="0"/>
            <w:rPr>
              <w:rFonts w:ascii="宋体" w:hAnsi="宋体"/>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posOffset>4086860</wp:posOffset>
                    </wp:positionH>
                    <wp:positionV relativeFrom="paragraph">
                      <wp:posOffset>23495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21.8pt;margin-top:1.85pt;height:144pt;width:144pt;mso-position-horizontal-relative:margin;mso-wrap-style:none;z-index:251659264;mso-width-relative:page;mso-height-relative:page;" filled="f" stroked="f" coordsize="21600,21600" o:gfxdata="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lAkStYAAAAJ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v:textbox>
                  </v:shape>
                </w:pict>
              </mc:Fallback>
            </mc:AlternateContent>
          </w:r>
          <w:r>
            <w:rPr>
              <w:rFonts w:hint="eastAsia" w:ascii="宋体" w:hAnsi="宋体"/>
              <w:sz w:val="18"/>
              <w:szCs w:val="18"/>
            </w:rPr>
            <w:t>项目编号：吉正光职</w:t>
          </w:r>
          <w:r>
            <w:rPr>
              <w:rFonts w:hint="eastAsia"/>
              <w:sz w:val="18"/>
              <w:szCs w:val="18"/>
              <w:lang w:val="en-US" w:eastAsia="zh-CN"/>
            </w:rPr>
            <w:t>现</w:t>
          </w:r>
          <w:r>
            <w:rPr>
              <w:rFonts w:hint="eastAsia" w:ascii="宋体" w:hAnsi="宋体"/>
              <w:sz w:val="18"/>
              <w:szCs w:val="18"/>
            </w:rPr>
            <w:t>评（</w:t>
          </w:r>
          <w:r>
            <w:rPr>
              <w:rFonts w:hint="eastAsia"/>
              <w:sz w:val="18"/>
              <w:szCs w:val="18"/>
              <w:lang w:val="en-US" w:eastAsia="zh-CN"/>
            </w:rPr>
            <w:t>2021</w:t>
          </w:r>
          <w:r>
            <w:rPr>
              <w:rFonts w:hint="eastAsia" w:ascii="宋体" w:hAnsi="宋体"/>
              <w:sz w:val="18"/>
              <w:szCs w:val="18"/>
            </w:rPr>
            <w:t xml:space="preserve">）第 </w:t>
          </w:r>
          <w:r>
            <w:rPr>
              <w:rFonts w:hint="eastAsia"/>
              <w:sz w:val="18"/>
              <w:szCs w:val="18"/>
              <w:lang w:val="en-US" w:eastAsia="zh-CN"/>
            </w:rPr>
            <w:t>006</w:t>
          </w:r>
          <w:r>
            <w:rPr>
              <w:rFonts w:hint="eastAsia" w:ascii="宋体" w:hAnsi="宋体"/>
              <w:sz w:val="18"/>
              <w:szCs w:val="18"/>
            </w:rPr>
            <w:t>号</w:t>
          </w:r>
          <w:r>
            <w:rPr>
              <w:rFonts w:hint="eastAsia" w:ascii="宋体" w:hAnsi="宋体"/>
              <w:sz w:val="18"/>
              <w:szCs w:val="18"/>
            </w:rPr>
            <w:tab/>
          </w:r>
          <w:r>
            <w:rPr>
              <w:rFonts w:hint="eastAsia" w:ascii="宋体" w:hAnsi="宋体"/>
              <w:sz w:val="18"/>
              <w:szCs w:val="18"/>
            </w:rPr>
            <w:t xml:space="preserve">                                   </w:t>
          </w:r>
          <w:r>
            <w:rPr>
              <w:rFonts w:hint="eastAsia"/>
              <w:sz w:val="18"/>
              <w:szCs w:val="18"/>
              <w:lang w:val="en-US" w:eastAsia="zh-CN"/>
            </w:rPr>
            <w:t xml:space="preserve">      </w:t>
          </w:r>
        </w:p>
      </w:tc>
    </w:tr>
  </w:tbl>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kZjViMTM3N2I4YjQwNDJlOWNmNGQxZTZjOTUyMDMifQ=="/>
  </w:docVars>
  <w:rsids>
    <w:rsidRoot w:val="00000000"/>
    <w:rsid w:val="05DF007B"/>
    <w:rsid w:val="0B0B35D9"/>
    <w:rsid w:val="0EE92B72"/>
    <w:rsid w:val="27E171C2"/>
    <w:rsid w:val="2B3762C6"/>
    <w:rsid w:val="3A3A6B37"/>
    <w:rsid w:val="3FBFE734"/>
    <w:rsid w:val="46B92BCD"/>
    <w:rsid w:val="4F4B6F9C"/>
    <w:rsid w:val="543A1B00"/>
    <w:rsid w:val="674202E2"/>
    <w:rsid w:val="674F666B"/>
    <w:rsid w:val="68570D81"/>
    <w:rsid w:val="6A114778"/>
    <w:rsid w:val="6D07106B"/>
    <w:rsid w:val="7FBF320B"/>
    <w:rsid w:val="F7FFEDE5"/>
    <w:rsid w:val="FEDF95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0"/>
    <w:pPr>
      <w:keepNext/>
      <w:keepLines/>
      <w:spacing w:line="480" w:lineRule="exact"/>
      <w:outlineLvl w:val="0"/>
    </w:pPr>
    <w:rPr>
      <w:b/>
      <w:bCs/>
      <w:kern w:val="44"/>
      <w:szCs w:val="44"/>
    </w:rPr>
  </w:style>
  <w:style w:type="paragraph" w:styleId="3">
    <w:name w:val="heading 2"/>
    <w:basedOn w:val="1"/>
    <w:next w:val="1"/>
    <w:qFormat/>
    <w:uiPriority w:val="0"/>
    <w:pPr>
      <w:spacing w:line="480" w:lineRule="exact"/>
      <w:outlineLvl w:val="1"/>
    </w:pPr>
    <w:rPr>
      <w:b/>
      <w:bCs/>
      <w:szCs w:val="28"/>
    </w:rPr>
  </w:style>
  <w:style w:type="paragraph" w:styleId="4">
    <w:name w:val="heading 3"/>
    <w:basedOn w:val="1"/>
    <w:next w:val="1"/>
    <w:qFormat/>
    <w:uiPriority w:val="9"/>
    <w:pPr>
      <w:keepNext/>
      <w:keepLines/>
      <w:spacing w:before="260" w:beforeLines="0" w:beforeAutospacing="0" w:after="260" w:afterLines="0" w:afterAutospacing="0" w:line="415" w:lineRule="auto"/>
      <w:outlineLvl w:val="2"/>
    </w:pPr>
    <w:rPr>
      <w:b/>
      <w:sz w:val="32"/>
    </w:rPr>
  </w:style>
  <w:style w:type="character" w:default="1" w:styleId="10">
    <w:name w:val="Default Paragraph Font"/>
    <w:unhideWhenUsed/>
    <w:qFormat/>
    <w:uiPriority w:val="1"/>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qFormat/>
    <w:uiPriority w:val="0"/>
    <w:pPr>
      <w:spacing w:line="530" w:lineRule="exact"/>
      <w:ind w:firstLine="420" w:firstLineChars="200"/>
    </w:pPr>
    <w:rPr>
      <w:rFonts w:eastAsia="仿宋_GB2312"/>
      <w:kern w:val="0"/>
      <w:sz w:val="30"/>
      <w:szCs w:val="20"/>
    </w:rPr>
  </w:style>
  <w:style w:type="paragraph" w:styleId="6">
    <w:name w:val="Body Text"/>
    <w:basedOn w:val="1"/>
    <w:qFormat/>
    <w:uiPriority w:val="1"/>
    <w:rPr>
      <w:rFonts w:ascii="FZXiaoBiaoSong-B05S" w:hAnsi="FZXiaoBiaoSong-B05S" w:eastAsia="FZXiaoBiaoSong-B05S" w:cs="FZXiaoBiaoSong-B05S"/>
      <w:sz w:val="36"/>
      <w:szCs w:val="36"/>
    </w:rPr>
  </w:style>
  <w:style w:type="paragraph" w:styleId="7">
    <w:name w:val="Body Text Indent 2"/>
    <w:basedOn w:val="1"/>
    <w:next w:val="1"/>
    <w:qFormat/>
    <w:uiPriority w:val="0"/>
    <w:pPr>
      <w:ind w:firstLine="794"/>
    </w:pPr>
    <w:rPr>
      <w:sz w:val="32"/>
      <w:szCs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table" w:customStyle="1" w:styleId="12">
    <w:name w:val="Table Normal"/>
    <w:unhideWhenUsed/>
    <w:qFormat/>
    <w:uiPriority w:val="2"/>
    <w:tblPr>
      <w:tblLayout w:type="fixed"/>
      <w:tblCellMar>
        <w:top w:w="0" w:type="dxa"/>
        <w:left w:w="0" w:type="dxa"/>
        <w:bottom w:w="0" w:type="dxa"/>
        <w:right w:w="0" w:type="dxa"/>
      </w:tblCellMar>
    </w:tblPr>
  </w:style>
  <w:style w:type="paragraph" w:customStyle="1" w:styleId="13">
    <w:name w:val="List Paragraph"/>
    <w:basedOn w:val="1"/>
    <w:qFormat/>
    <w:uiPriority w:val="1"/>
  </w:style>
  <w:style w:type="paragraph" w:customStyle="1" w:styleId="14">
    <w:name w:val="Table Paragraph"/>
    <w:basedOn w:val="1"/>
    <w:qFormat/>
    <w:uiPriority w:val="1"/>
    <w:pPr>
      <w:spacing w:before="101"/>
      <w:ind w:left="107"/>
    </w:pPr>
    <w:rPr>
      <w:rFonts w:ascii="宋体" w:hAnsi="宋体" w:eastAsia="宋体" w:cs="宋体"/>
    </w:rPr>
  </w:style>
  <w:style w:type="paragraph" w:customStyle="1" w:styleId="15">
    <w:name w:val="报告正文"/>
    <w:basedOn w:val="1"/>
    <w:qFormat/>
    <w:uiPriority w:val="0"/>
    <w:pPr>
      <w:spacing w:line="460" w:lineRule="exact"/>
      <w:ind w:firstLine="560" w:firstLineChars="200"/>
    </w:pPr>
    <w:rPr>
      <w:rFonts w:eastAsia="仿宋_GB2312"/>
      <w:kern w:val="0"/>
      <w:sz w:val="28"/>
    </w:rPr>
  </w:style>
  <w:style w:type="paragraph" w:customStyle="1" w:styleId="16">
    <w:name w:val="刘倩正文"/>
    <w:basedOn w:val="1"/>
    <w:qFormat/>
    <w:uiPriority w:val="0"/>
    <w:pPr>
      <w:spacing w:line="460" w:lineRule="exact"/>
      <w:ind w:firstLine="560" w:firstLineChars="200"/>
    </w:pPr>
    <w:rPr>
      <w:kern w:val="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1223</Words>
  <Characters>1296</Characters>
  <TotalTime>2</TotalTime>
  <ScaleCrop>false</ScaleCrop>
  <LinksUpToDate>false</LinksUpToDate>
  <CharactersWithSpaces>1335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2021-11-10T16:38:00Z</dcterms:created>
  <dc:creator>李红丽</dc:creator>
  <cp:lastModifiedBy>lengz</cp:lastModifiedBy>
  <dcterms:modified xsi:type="dcterms:W3CDTF">2022-09-06T08:15:17Z</dcterms:modified>
  <dc:title>职业卫生评价报告网上公示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WPS Office</vt:lpwstr>
  </property>
  <property fmtid="{D5CDD505-2E9C-101B-9397-08002B2CF9AE}" pid="4" name="LastSaved">
    <vt:filetime>2021-11-10T00:00:00Z</vt:filetime>
  </property>
  <property fmtid="{D5CDD505-2E9C-101B-9397-08002B2CF9AE}" pid="5" name="KSOProductBuildVer">
    <vt:lpwstr>2052-10.8.2.6837</vt:lpwstr>
  </property>
  <property fmtid="{D5CDD505-2E9C-101B-9397-08002B2CF9AE}" pid="6" name="ICV">
    <vt:lpwstr>ABEE24CEFF1B47C999D06B3E31AA135D</vt:lpwstr>
  </property>
</Properties>
</file>