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rPr>
          <w:sz w:val="8"/>
        </w:rPr>
      </w:pPr>
    </w:p>
    <w:tbl>
      <w:tblPr>
        <w:tblStyle w:val="7"/>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吉林创源化工有限公司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eastAsia="仿宋_GB2312"/>
                <w:sz w:val="28"/>
                <w:szCs w:val="28"/>
              </w:rPr>
              <w:sym w:font="Wingdings 2" w:char="0052"/>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eastAsia="zh-CN"/>
              </w:rPr>
              <w:t>吉林省梅河口市经济技术开发区银河大街1号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CN"/>
              </w:rPr>
            </w:pPr>
            <w:r>
              <w:rPr>
                <w:rFonts w:hint="eastAsia"/>
                <w:sz w:val="24"/>
                <w:lang w:val="en-US" w:eastAsia="zh-CN"/>
              </w:rPr>
              <w:t>韩总</w:t>
            </w:r>
          </w:p>
        </w:tc>
        <w:tc>
          <w:tcPr>
            <w:tcW w:w="1907"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13894562111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eastAsia"/>
                <w:sz w:val="24"/>
                <w:lang w:eastAsia="zh-CN"/>
              </w:rPr>
              <w:t>吉林创源化工有限公司工作场所职业病危害现状评价报告</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吉林创源化工有限公司于2013年01月08日成立。位于吉林省梅河口市经济技术开发区银河大街1号。公司经营范围包括：甲醛、甲缩醛、脲醛胶、建筑胶粉、车用环保汽油、柴油清洁燃料生产销售等。</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3.30-4.1</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eastAsia="宋体"/>
                <w:sz w:val="24"/>
                <w:lang w:val="en-US" w:eastAsia="zh-CN"/>
              </w:rPr>
              <w:t>王阳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3.30-4.1</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eastAsia="宋体"/>
                <w:sz w:val="24"/>
                <w:lang w:val="en-US" w:eastAsia="zh-CN"/>
              </w:rPr>
              <w:t>王阳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主要存在的职业病危害因素：甲酸、甲醇、甲醛</w:t>
            </w:r>
            <w:r>
              <w:rPr>
                <w:rFonts w:hint="eastAsia"/>
                <w:b/>
                <w:bCs/>
                <w:spacing w:val="-5"/>
                <w:sz w:val="24"/>
                <w:lang w:val="en-US" w:eastAsia="zh-CN"/>
              </w:rPr>
              <w:t>、</w:t>
            </w:r>
            <w:r>
              <w:rPr>
                <w:rFonts w:hint="eastAsia"/>
                <w:b/>
                <w:bCs/>
                <w:spacing w:val="-5"/>
                <w:sz w:val="24"/>
                <w:lang w:val="en-US" w:eastAsia="zh-Hans"/>
              </w:rPr>
              <w:t>噪声</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本次检测结果显示甲醛车间一层、甲醛车间二层、甲醛车间三层巡检岗位劳动者接触的甲醛的浓度符合《工作场所有害因素职业接触限值第1部分：化学有害因素》的要求。</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CN"/>
              </w:rPr>
              <w:t>本次检测结果显示委托单位各岗位接触噪声的强度均符合《工作场所有害因素职业接触限值第2部分：物理因素（GBZ2.2-2007）》的要求。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一、防毒</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在保证防护设施正常运行，有效控制有毒化学物质的浓度并做好防护设施维护工作，以保证良好的防护效果；培训和监督各个岗位作业人员在作业过程中严格按要求佩戴符合国家标准的个人防护用品，以降低工人作业过程中毒物的接触量。</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二、防噪</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噪声是该企业的主要职业病危害因素之一。目前企业主要采取为工人配备防噪声耳塞和控制工人接噪时间的方法来减少噪声对工人的危害。建议企业根据防护用品的使用期限保证防护用品的定期发放，同时严格监管工人正确佩戴防噪声耳塞。此外，应关注噪声作业工人的职业健康体检，特别是听力检查，观察听力变化情况，以便早期发现听力损伤，及时采取有效的防护措施。对于听力明显下降者，应及早调离噪声作业并进行定期检查。</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0" w:name="_Toc447613986"/>
            <w:bookmarkStart w:id="1" w:name="_Toc464201104"/>
            <w:bookmarkStart w:id="2" w:name="_Toc446074211"/>
            <w:bookmarkStart w:id="3" w:name="_Toc446062157"/>
            <w:r>
              <w:rPr>
                <w:rFonts w:hint="eastAsia"/>
                <w:b w:val="0"/>
                <w:bCs w:val="0"/>
                <w:spacing w:val="-5"/>
                <w:sz w:val="24"/>
                <w:lang w:val="en-US" w:eastAsia="zh-Hans"/>
              </w:rPr>
              <w:t>三、个人职业病防护用品补充措施</w:t>
            </w:r>
            <w:bookmarkEnd w:id="0"/>
            <w:bookmarkEnd w:id="1"/>
            <w:bookmarkEnd w:id="2"/>
            <w:bookmarkEnd w:id="3"/>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4" w:name="_Toc446062158"/>
            <w:bookmarkStart w:id="5" w:name="_Toc407369945"/>
            <w:bookmarkStart w:id="6" w:name="_Toc6377"/>
            <w:bookmarkStart w:id="7" w:name="_Toc437433047"/>
            <w:bookmarkStart w:id="8" w:name="_Toc416333680"/>
            <w:bookmarkStart w:id="9" w:name="_Toc446074212"/>
            <w:bookmarkStart w:id="10" w:name="_Toc447613987"/>
            <w:bookmarkStart w:id="11" w:name="_Toc228593355"/>
            <w:bookmarkStart w:id="12" w:name="_Toc180554208"/>
            <w:r>
              <w:rPr>
                <w:rFonts w:hint="eastAsia"/>
                <w:b w:val="0"/>
                <w:bCs w:val="0"/>
                <w:spacing w:val="-5"/>
                <w:sz w:val="24"/>
                <w:lang w:val="en-US" w:eastAsia="zh-Hans"/>
              </w:rPr>
              <w:t>应为作业人员配备符合标准的个体防护用品，同时应制定相关规章制度，加强对操作人员使用个人防护用品的监督和管理，督促作业人员自觉佩戴职业病防护用品，以保证所有作业人员在作业过程中正确配戴和使用个人防护用品，并定期检查防护效果，使其发挥应有的作用，及时更换失效的防护用品，真正达到有效的防护目的。</w:t>
            </w:r>
          </w:p>
          <w:bookmarkEnd w:id="4"/>
          <w:bookmarkEnd w:id="5"/>
          <w:bookmarkEnd w:id="6"/>
          <w:bookmarkEnd w:id="7"/>
          <w:bookmarkEnd w:id="8"/>
          <w:bookmarkEnd w:id="9"/>
          <w:bookmarkEnd w:id="10"/>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13" w:name="_Toc464201105"/>
            <w:r>
              <w:rPr>
                <w:rFonts w:hint="eastAsia"/>
                <w:b w:val="0"/>
                <w:bCs w:val="0"/>
                <w:spacing w:val="-5"/>
                <w:sz w:val="24"/>
                <w:lang w:val="en-US" w:eastAsia="zh-Hans"/>
              </w:rPr>
              <w:t>四、职业健康检查</w:t>
            </w:r>
            <w:bookmarkEnd w:id="13"/>
          </w:p>
          <w:bookmarkEnd w:id="11"/>
          <w:bookmarkEnd w:id="12"/>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严格执行职工的岗前、岗中和离岗体检制度，对有职业禁忌症者严禁安排其从事有害作业。应加强对各车间辅助岗位工人的职业卫生管理，同时应根据体检情况不断完善职工的职业健康监护档案。</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应定期委托取得资质认定的职业卫生体检机构对接触职业病危害因素的岗位工人进行职业健康体检。体检项目应包含针对噪声岗位劳动者的体检项目。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职业卫生管理制度</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pacing w:val="-5"/>
                <w:sz w:val="24"/>
              </w:rPr>
            </w:pPr>
            <w:r>
              <w:rPr>
                <w:rFonts w:hint="eastAsia"/>
                <w:b w:val="0"/>
                <w:bCs w:val="0"/>
                <w:spacing w:val="-5"/>
                <w:sz w:val="24"/>
                <w:lang w:val="en-US" w:eastAsia="zh-CN"/>
              </w:rPr>
              <w:t>五、</w:t>
            </w:r>
            <w:r>
              <w:rPr>
                <w:rFonts w:hint="eastAsia"/>
                <w:b w:val="0"/>
                <w:bCs w:val="0"/>
                <w:spacing w:val="-5"/>
                <w:sz w:val="24"/>
                <w:lang w:val="en-US" w:eastAsia="zh-Hans"/>
              </w:rPr>
              <w:t>用人单位制定了《职业危害警示与告知制度》。但是在各车间存在职业病危害因素的作业岗位，未设置相应的职业病危害警示标识和职业病危害告知卡。职业病危害告知卡注明了危害物质的名称、健康危害、理化特性、应急处理和防护措施。根据《用人单位职业病危害告知与警示标识管理规范》建议用人单位在有制度的同时完善相关警示标识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bookmarkStart w:id="14" w:name="_GoBack"/>
            <w:bookmarkEnd w:id="14"/>
            <w:r>
              <w:rPr>
                <w:rFonts w:hint="eastAsia"/>
                <w:spacing w:val="-5"/>
                <w:sz w:val="24"/>
                <w:lang w:val="en-US" w:eastAsia="zh-CN"/>
              </w:rPr>
              <w:t xml:space="preserve"> </w:t>
            </w:r>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QJEr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2021</w:t>
          </w:r>
          <w:r>
            <w:rPr>
              <w:rFonts w:hint="eastAsia" w:ascii="宋体" w:hAnsi="宋体"/>
              <w:sz w:val="18"/>
              <w:szCs w:val="18"/>
            </w:rPr>
            <w:t xml:space="preserve">）第 </w:t>
          </w:r>
          <w:r>
            <w:rPr>
              <w:rFonts w:hint="eastAsia"/>
              <w:sz w:val="18"/>
              <w:szCs w:val="18"/>
              <w:lang w:val="en-US" w:eastAsia="zh-CN"/>
            </w:rPr>
            <w:t>004</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2B3762C6"/>
    <w:rsid w:val="3A3A6B37"/>
    <w:rsid w:val="3FBFE734"/>
    <w:rsid w:val="4F4B6F9C"/>
    <w:rsid w:val="674F666B"/>
    <w:rsid w:val="6A114778"/>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Normal Indent"/>
    <w:basedOn w:val="1"/>
    <w:qFormat/>
    <w:uiPriority w:val="0"/>
    <w:pPr>
      <w:spacing w:line="530" w:lineRule="exact"/>
      <w:ind w:firstLine="420" w:firstLineChars="200"/>
    </w:pPr>
    <w:rPr>
      <w:rFonts w:eastAsia="仿宋_GB2312"/>
      <w:kern w:val="0"/>
      <w:sz w:val="30"/>
      <w:szCs w:val="20"/>
    </w:rPr>
  </w:style>
  <w:style w:type="paragraph" w:styleId="4">
    <w:name w:val="Body Text"/>
    <w:basedOn w:val="1"/>
    <w:qFormat/>
    <w:uiPriority w:val="1"/>
    <w:rPr>
      <w:rFonts w:ascii="FZXiaoBiaoSong-B05S" w:hAnsi="FZXiaoBiaoSong-B05S" w:eastAsia="FZXiaoBiaoSong-B05S" w:cs="FZXiaoBiaoSong-B05S"/>
      <w:sz w:val="36"/>
      <w:szCs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style>
  <w:style w:type="paragraph" w:customStyle="1" w:styleId="11">
    <w:name w:val="Table Paragraph"/>
    <w:basedOn w:val="1"/>
    <w:qFormat/>
    <w:uiPriority w:val="1"/>
    <w:pPr>
      <w:spacing w:before="101"/>
      <w:ind w:left="107"/>
    </w:pPr>
    <w:rPr>
      <w:rFonts w:ascii="宋体" w:hAnsi="宋体" w:eastAsia="宋体" w:cs="宋体"/>
    </w:rPr>
  </w:style>
  <w:style w:type="paragraph" w:customStyle="1" w:styleId="12">
    <w:name w:val="报告正文"/>
    <w:basedOn w:val="1"/>
    <w:qFormat/>
    <w:uiPriority w:val="0"/>
    <w:pPr>
      <w:spacing w:line="460" w:lineRule="exact"/>
      <w:ind w:firstLine="560" w:firstLineChars="200"/>
    </w:pPr>
    <w:rPr>
      <w:rFonts w:eastAsia="仿宋_GB2312"/>
      <w:kern w:val="0"/>
      <w:sz w:val="28"/>
    </w:rPr>
  </w:style>
  <w:style w:type="paragraph" w:customStyle="1" w:styleId="13">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1749</Words>
  <Characters>1877</Characters>
  <TotalTime>2</TotalTime>
  <ScaleCrop>false</ScaleCrop>
  <LinksUpToDate>false</LinksUpToDate>
  <CharactersWithSpaces>1909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2022-09-05T02:40:14Z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