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吉林恒金药业股份有限公司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/>
              </w:rPr>
              <w:t xml:space="preserve">现评 </w:t>
            </w:r>
            <w:r>
              <w:t xml:space="preserve">   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zh-CN"/>
              </w:rPr>
              <w:t>吉林省梅河口市北环西路1385号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en-US" w:bidi="ar-SA"/>
              </w:rPr>
              <w:t>乔慧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en-US" w:bidi="ar-SA"/>
              </w:rPr>
              <w:t>15843506345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zh-CN"/>
              </w:rPr>
              <w:t>吉林恒金药业股份有限公司</w:t>
            </w:r>
            <w:r>
              <w:rPr>
                <w:rFonts w:hint="eastAsia"/>
                <w:sz w:val="24"/>
                <w:lang w:val="en-US" w:eastAsia="zh-CN"/>
              </w:rPr>
              <w:t>职业病危害因素检测报告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吉林恒金药业股份有限公司</w:t>
            </w:r>
            <w:r>
              <w:rPr>
                <w:rFonts w:hint="default"/>
                <w:sz w:val="24"/>
                <w:lang w:val="en-US" w:eastAsia="zh-CN"/>
              </w:rPr>
              <w:t>成立于20</w:t>
            </w:r>
            <w:r>
              <w:rPr>
                <w:rFonts w:hint="eastAsia"/>
                <w:sz w:val="24"/>
                <w:lang w:val="en-US" w:eastAsia="zh-CN"/>
              </w:rPr>
              <w:t>00</w:t>
            </w:r>
            <w:r>
              <w:rPr>
                <w:rFonts w:hint="default"/>
                <w:sz w:val="24"/>
                <w:lang w:val="en-US" w:eastAsia="zh-CN"/>
              </w:rPr>
              <w:t>年1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default"/>
                <w:sz w:val="24"/>
                <w:lang w:val="en-US" w:eastAsia="zh-CN"/>
              </w:rPr>
              <w:t>月。经营范围：</w:t>
            </w:r>
            <w:r>
              <w:rPr>
                <w:rFonts w:hint="eastAsia"/>
                <w:sz w:val="24"/>
                <w:lang w:val="en-US" w:eastAsia="zh-CN"/>
              </w:rPr>
              <w:t>丸剂、片剂、硬胶囊剂、颗粒剂、栓剂、合剂、口服液、口服溶液剂、糖浆剂、冻干粉针剂、原料药</w:t>
            </w:r>
            <w:r>
              <w:rPr>
                <w:rFonts w:hint="default"/>
                <w:sz w:val="24"/>
                <w:lang w:val="en-US"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2021.11.25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en-US" w:bidi="ar-SA"/>
              </w:rPr>
              <w:t>乔慧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2021.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11.25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en-US" w:bidi="ar-SA"/>
              </w:rPr>
              <w:t>乔慧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其他粉尘、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一氧化碳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氨、硫化氢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硝酸、盐酸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苯、甲苯、氯乙烯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丁酮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硫酸、氢氧化钠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甲醇、乙腈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高温、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噪声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bookmarkStart w:id="0" w:name="_Hlk25924127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其他粉尘、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一氧化碳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氨、硫化氢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硝酸、盐酸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苯、甲苯、氯乙烯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丁酮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硫酸、氢氧化钠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甲醇、乙腈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的浓度符合《工作场所有害因素职业接触限值第1部分：化学有害因素》的要求。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工接触噪声的强度符合《工作场所有害因素职业接触限值第2部分：物理因素》</w:t>
            </w:r>
            <w:bookmarkEnd w:id="0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sz w:val="24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高温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的强度符合《工作场所有害因素职业接触限值第2部分：物理因素》。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一般</w:t>
            </w:r>
            <w:r>
              <w:rPr>
                <w:spacing w:val="-5"/>
                <w:sz w:val="24"/>
              </w:rPr>
              <w:t>的</w:t>
            </w:r>
            <w:r>
              <w:rPr>
                <w:rFonts w:hint="eastAsia"/>
                <w:spacing w:val="-5"/>
                <w:sz w:val="24"/>
                <w:lang w:eastAsia="zh-CN"/>
              </w:rPr>
              <w:t>检测</w:t>
            </w:r>
            <w:r>
              <w:rPr>
                <w:spacing w:val="-5"/>
                <w:sz w:val="24"/>
              </w:rPr>
              <w:t>项目。</w:t>
            </w:r>
          </w:p>
          <w:p>
            <w:pPr>
              <w:snapToGrid w:val="0"/>
              <w:spacing w:line="460" w:lineRule="atLeast"/>
              <w:ind w:firstLine="462" w:firstLineChars="200"/>
              <w:rPr>
                <w:rFonts w:hint="eastAsia" w:ascii="宋体" w:hAnsi="宋体" w:eastAsia="宋体" w:cs="宋体"/>
                <w:spacing w:val="-5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rFonts w:hint="default"/>
                <w:spacing w:val="-5"/>
                <w:sz w:val="24"/>
              </w:rPr>
              <w:t>用人单位应</w:t>
            </w:r>
            <w:r>
              <w:rPr>
                <w:rFonts w:hint="eastAsia"/>
                <w:spacing w:val="-5"/>
                <w:sz w:val="24"/>
                <w:lang w:eastAsia="zh-CN"/>
              </w:rPr>
              <w:t>为噪声超过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80dB(A)</w:t>
            </w:r>
            <w:r>
              <w:rPr>
                <w:rFonts w:hint="eastAsia"/>
                <w:spacing w:val="-5"/>
                <w:sz w:val="24"/>
                <w:lang w:eastAsia="zh-CN"/>
              </w:rPr>
              <w:t>的</w:t>
            </w:r>
            <w:r>
              <w:rPr>
                <w:rFonts w:ascii="宋体" w:hAnsi="宋体" w:eastAsia="宋体" w:cs="宋体"/>
                <w:spacing w:val="-5"/>
                <w:sz w:val="24"/>
                <w:szCs w:val="22"/>
                <w:lang w:val="en-US" w:eastAsia="en-US" w:bidi="ar-SA"/>
              </w:rPr>
              <w:t>岗位的劳动者配备防噪耳塞，并督促其在作业时佩戴，以降低噪声对其身体健康的影响</w:t>
            </w:r>
            <w:r>
              <w:rPr>
                <w:rFonts w:hint="eastAsia" w:cs="宋体"/>
                <w:spacing w:val="-5"/>
                <w:sz w:val="24"/>
                <w:szCs w:val="22"/>
                <w:lang w:val="en-US" w:eastAsia="zh-CN" w:bidi="ar-SA"/>
              </w:rPr>
              <w:t>.</w:t>
            </w:r>
            <w:bookmarkStart w:id="1" w:name="_GoBack"/>
            <w:bookmarkEnd w:id="1"/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pacing w:val="-5"/>
                <w:sz w:val="24"/>
              </w:rPr>
            </w:pPr>
          </w:p>
        </w:tc>
      </w:tr>
    </w:tbl>
    <w:p/>
    <w:sectPr>
      <w:headerReference r:id="rId5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现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2021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416</w:t>
          </w:r>
          <w:r>
            <w:rPr>
              <w:rFonts w:hint="eastAsia" w:ascii="宋体" w:hAnsi="宋体"/>
              <w:sz w:val="18"/>
              <w:szCs w:val="18"/>
            </w:rPr>
            <w:t xml:space="preserve"> 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mRiNjcyMzgyNDFmOTc2ZDRmZjdkNjA4Yjg2ZDUifQ=="/>
  </w:docVars>
  <w:rsids>
    <w:rsidRoot w:val="00000000"/>
    <w:rsid w:val="02F474A0"/>
    <w:rsid w:val="03132069"/>
    <w:rsid w:val="049F51EA"/>
    <w:rsid w:val="04A37DF3"/>
    <w:rsid w:val="05DF007B"/>
    <w:rsid w:val="14A63D86"/>
    <w:rsid w:val="1971007E"/>
    <w:rsid w:val="210112AE"/>
    <w:rsid w:val="253849B7"/>
    <w:rsid w:val="287C7626"/>
    <w:rsid w:val="31713AE0"/>
    <w:rsid w:val="3A3A6B37"/>
    <w:rsid w:val="3D605157"/>
    <w:rsid w:val="3FBFE734"/>
    <w:rsid w:val="41EF5417"/>
    <w:rsid w:val="546131AF"/>
    <w:rsid w:val="5B776608"/>
    <w:rsid w:val="62EB1054"/>
    <w:rsid w:val="6D07106B"/>
    <w:rsid w:val="6E580AE7"/>
    <w:rsid w:val="77B823A0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94"/>
    </w:pPr>
    <w:rPr>
      <w:sz w:val="32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  <w:style w:type="paragraph" w:customStyle="1" w:styleId="11">
    <w:name w:val="报告正文"/>
    <w:basedOn w:val="1"/>
    <w:qFormat/>
    <w:uiPriority w:val="0"/>
    <w:pPr>
      <w:spacing w:line="460" w:lineRule="exact"/>
      <w:ind w:firstLine="560" w:firstLineChars="200"/>
    </w:pPr>
    <w:rPr>
      <w:rFonts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608</Words>
  <Characters>643</Characters>
  <TotalTime>2</TotalTime>
  <ScaleCrop>false</ScaleCrop>
  <LinksUpToDate>false</LinksUpToDate>
  <CharactersWithSpaces>670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Administrator</cp:lastModifiedBy>
  <dcterms:modified xsi:type="dcterms:W3CDTF">2022-09-06T05:18:50Z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CA68C821A23146F5BFA6286AC0FF61A8</vt:lpwstr>
  </property>
</Properties>
</file>