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rPr>
          <w:sz w:val="8"/>
        </w:rPr>
      </w:pPr>
    </w:p>
    <w:tbl>
      <w:tblPr>
        <w:tblStyle w:val="7"/>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中材科技（白城）风电叶片有限公司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eastAsia="仿宋_GB2312"/>
                <w:sz w:val="28"/>
                <w:szCs w:val="28"/>
              </w:rPr>
              <w:sym w:font="Wingdings 2" w:char="00A3"/>
            </w:r>
            <w:r>
              <w:rPr>
                <w:rFonts w:hint="eastAsia"/>
              </w:rPr>
              <w:t xml:space="preserve">现评 </w:t>
            </w:r>
            <w:r>
              <w:t xml:space="preserve">       </w:t>
            </w:r>
            <w:r>
              <w:rPr>
                <w:rFonts w:hint="eastAsia"/>
              </w:rPr>
              <w:sym w:font="Wingdings 2" w:char="0052"/>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sz w:val="24"/>
                <w:lang w:val="en-US"/>
              </w:rPr>
              <w:t>吉林省白城市工业园区</w:t>
            </w:r>
            <w:r>
              <w:rPr>
                <w:rFonts w:hint="eastAsia"/>
                <w:sz w:val="24"/>
                <w:lang w:val="en-US" w:eastAsia="zh-CN"/>
              </w:rPr>
              <w:t>珠海街3888号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CN"/>
              </w:rPr>
            </w:pPr>
            <w:r>
              <w:rPr>
                <w:rFonts w:hint="eastAsia" w:eastAsia="宋体"/>
                <w:sz w:val="24"/>
                <w:lang w:val="en-US" w:eastAsia="zh-CN"/>
              </w:rPr>
              <w:t>王阳</w:t>
            </w:r>
          </w:p>
        </w:tc>
        <w:tc>
          <w:tcPr>
            <w:tcW w:w="1907"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eastAsia="宋体"/>
                <w:sz w:val="24"/>
                <w:lang w:val="en-US" w:eastAsia="zh-CN"/>
              </w:rPr>
              <w:t>15590798121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中材科技(白城)风电叶片有限公司</w:t>
            </w:r>
            <w:r>
              <w:rPr>
                <w:rFonts w:hint="eastAsia"/>
                <w:sz w:val="24"/>
                <w:lang w:val="en-US" w:eastAsia="zh-CN"/>
              </w:rPr>
              <w:t>检测报告</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中材科技(白城)风电叶片有限公司成立于2010年04月09日，注册地位于白城工业园区，法定代表人为翟辉。经营范围包括生产、组装和销售风机用叶片；风力发电设备的研究与开发；风机用叶片维修；风力发电设备技术咨询服务，风机用叶片进出口贸易；厂房租赁、设备租赁。</w:t>
            </w:r>
          </w:p>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2021.0</w:t>
            </w:r>
            <w:r>
              <w:rPr>
                <w:rFonts w:hint="eastAsia" w:ascii="Times New Roman" w:hAnsi="Times New Roman" w:cs="Times New Roman"/>
                <w:sz w:val="24"/>
                <w:lang w:val="en-US" w:eastAsia="zh-CN"/>
              </w:rPr>
              <w:t>2.25</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eastAsia="宋体"/>
                <w:sz w:val="24"/>
                <w:lang w:val="en-US" w:eastAsia="zh-CN"/>
              </w:rPr>
              <w:t>王阳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56"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cs="Times New Roman"/>
                <w:sz w:val="24"/>
                <w:lang w:val="en-US" w:eastAsia="zh-CN"/>
              </w:rPr>
              <w:t>2021.0</w:t>
            </w:r>
            <w:r>
              <w:rPr>
                <w:rFonts w:hint="eastAsia" w:ascii="Times New Roman" w:hAnsi="Times New Roman" w:cs="Times New Roman"/>
                <w:sz w:val="24"/>
                <w:lang w:val="en-US" w:eastAsia="zh-CN"/>
              </w:rPr>
              <w:t>2.25</w:t>
            </w:r>
          </w:p>
        </w:tc>
        <w:tc>
          <w:tcPr>
            <w:tcW w:w="2025" w:type="dxa"/>
            <w:gridSpan w:val="2"/>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eastAsia="宋体"/>
                <w:sz w:val="24"/>
                <w:lang w:val="en-US" w:eastAsia="zh-CN"/>
              </w:rPr>
              <w:t>王阳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主要存在的职业病危害因素：玻璃钢粉尘</w:t>
            </w:r>
            <w:r>
              <w:rPr>
                <w:rFonts w:hint="eastAsia"/>
                <w:b/>
                <w:bCs/>
                <w:spacing w:val="-5"/>
                <w:sz w:val="24"/>
                <w:lang w:val="en-US" w:eastAsia="zh-CN"/>
              </w:rPr>
              <w:t>、</w:t>
            </w:r>
            <w:r>
              <w:rPr>
                <w:rFonts w:hint="eastAsia"/>
                <w:b/>
                <w:bCs/>
                <w:spacing w:val="-5"/>
                <w:sz w:val="24"/>
                <w:lang w:val="en-US" w:eastAsia="zh-Hans"/>
              </w:rPr>
              <w:t>正己烷、甲醛、乙酸乙酯、电焊烟尘、二氧化氮、锰及其无机化合物、一氧化碳、臭氧、紫外辐射</w:t>
            </w:r>
            <w:r>
              <w:rPr>
                <w:rFonts w:hint="eastAsia"/>
                <w:b/>
                <w:bCs/>
                <w:spacing w:val="-5"/>
                <w:sz w:val="24"/>
                <w:lang w:val="en-US" w:eastAsia="zh-CN"/>
              </w:rPr>
              <w:t>、</w:t>
            </w:r>
            <w:r>
              <w:rPr>
                <w:rFonts w:hint="eastAsia"/>
                <w:b/>
                <w:bCs/>
                <w:spacing w:val="-5"/>
                <w:sz w:val="24"/>
                <w:lang w:val="en-US" w:eastAsia="zh-Hans"/>
              </w:rPr>
              <w:t>噪声</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粉尘：检测结果表明用人单位后处理车间打磨岗位的中段和前段岗位劳动者接触粉尘的浓度不符合《工作场所有害因素职业接触限值1部分化学有害因素》（GBZ2.1-2019）中规定的接触限值。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检测结果表明用人单位其他岗位的劳动者接触粉尘的浓度符合《工作场所有害因素职业接触限值1部分化学有害因素》（GBZ2.1-2019）中规定的接触限值。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毒物：检测结果表明，在正常生产状态及职业病危害防护设施正常开启的情况下，各岗位劳动者接触毒物的浓度均符合《工作场所有害因素职业接触限值 第1部分：化学有害因素》（GBZ2.1-2019）的规定的接触限值。</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物理因素：</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噪声</w:t>
            </w:r>
            <w:bookmarkStart w:id="0" w:name="_Toc13703"/>
            <w:r>
              <w:rPr>
                <w:rFonts w:hint="eastAsia"/>
                <w:b w:val="0"/>
                <w:bCs w:val="0"/>
                <w:spacing w:val="-5"/>
                <w:sz w:val="24"/>
                <w:lang w:val="en-US" w:eastAsia="zh-Hans"/>
              </w:rPr>
              <w:t>：本次检测结果表明除后处理车间的打磨工岗位劳动者在打磨中段和打磨尾端接触噪声的8h等效声级值均不符合《工作场所有害因素职业接触限值第2部分：物理因素》（GBZ2.2-2007）的要求外，各岗位劳动者接触噪声的8h等效声级值均符合《工作场所有害因素职业接触限值第2部分：物理因素》（GBZ2.2-2007）的要求。</w:t>
            </w:r>
            <w:bookmarkEnd w:id="0"/>
            <w:bookmarkStart w:id="1" w:name="_Toc6905"/>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紫外辐射：本次检测结果表明维修岗位劳动者接触紫外辐射强度符合《工作场所有害因素职业接触限值第2部分：物理因素》（GBZ2.2-2007）的要求</w:t>
            </w:r>
            <w:bookmarkEnd w:id="1"/>
            <w:r>
              <w:rPr>
                <w:rFonts w:hint="eastAsia"/>
                <w:b w:val="0"/>
                <w:bCs w:val="0"/>
                <w:spacing w:val="-5"/>
                <w:sz w:val="24"/>
                <w:lang w:val="en-US" w:eastAsia="zh-Hans"/>
              </w:rPr>
              <w:t>。</w:t>
            </w:r>
            <w:bookmarkStart w:id="2" w:name="_Hlk18422386"/>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噪声超标原因分析：用人单位高噪声的设备较多，且根据工艺要求需集中布置，由此会造成生产现场各类设备产生的噪声叠加；虽然用人单位对高噪声设备设置了减震基础和减震垫、隔声罩等措施，来降低噪声的产生与传播但高速运转的设备本身产生的噪声无法从根本上得到有效控制；另机器同时运转由于空间狭小造成共振；上述原因综合导致部分岗位劳动者接触噪声强度超标，但设备本身产生的高噪声无法得到根本性的控制，属于目前工艺共同存在问题，建议用人单位应注重针对接触噪声岗位的个体防护。</w:t>
            </w:r>
            <w:bookmarkEnd w:id="2"/>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Hans"/>
              </w:rPr>
              <w:t>用人单位为员工配备的3M1110型防噪耳塞，其降噪可达到31dB（A）的效果，降噪值为18.6，后处理车间的打磨工岗位劳动者在打磨中段和打磨尾端接触的连续等效8h噪声强度为88.0dB、87.4dB佩戴后实际接触值在75dB以下，耳塞防护效果符合国家标准。劳动者佩戴后的预期效果符合要求</w:t>
            </w:r>
            <w:r>
              <w:rPr>
                <w:rFonts w:hint="eastAsia"/>
                <w:b w:val="0"/>
                <w:bCs w:val="0"/>
                <w:spacing w:val="-5"/>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bookmarkStart w:id="3" w:name="_GoBack"/>
            <w:bookmarkEnd w:id="3"/>
            <w:r>
              <w:rPr>
                <w:spacing w:val="-5"/>
                <w:sz w:val="24"/>
              </w:rPr>
              <w:t>的建设项目。</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议：1.本次检测期间发现生产车间内部分岗位作业时未按照要求正确佩戴已配备的个体防护用品，用人单位应建立监督制度，落实监督义务，督促各岗位作业人员在进行作业时必须正确佩戴个体防护用品。</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2. 用人单位应按照《中华人民共和国职业病防治法》的要求建立职业病危害因素定期检测制度，每年至少委托职业卫生技术服务机构对所有作业场所存在的职业病危害因素进行一次全面检测。</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3.用人单位应根据《职业健康监护技术规范》的要求对接触职业病危害的所有员工在有资质的职业健康检查机构进行至少每年一次的职业健康检查，并保证体检率达到100%。</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4. 用人单位应按照国家卫生标准《工作场所职业病危害警示标识》的要求，在厂区醒目位置设立相应职业病危害因素警示标识。并在门口周边作业人员经常来往的地点设置职业病危害公告栏，将本次检测结果告知作业人员。</w:t>
            </w:r>
          </w:p>
          <w:p>
            <w:pPr>
              <w:pStyle w:val="11"/>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pacing w:val="-5"/>
                <w:sz w:val="24"/>
              </w:rPr>
            </w:pPr>
            <w:r>
              <w:rPr>
                <w:rFonts w:hint="eastAsia"/>
                <w:b w:val="0"/>
                <w:bCs w:val="0"/>
                <w:spacing w:val="-5"/>
                <w:sz w:val="24"/>
                <w:lang w:val="en-US" w:eastAsia="zh-Hans"/>
              </w:rPr>
              <w:t>5. 用人单位应按照《工作场所职业卫生管理规定》的规定，建立并完善下列职业卫生管理制度和操作规程：《职业病危害防治责任制度》；《职业病危害警示与告知制度》；《职业病危害项目申报制度》；《职业病防治宣传教育培训制度》；《职业病防护设施维护检修制度》；《职业病防护用品管理制度》；《职业病危害监测及评价管理制度》；《建设项目职业卫生“三同时”管理制度》；《劳动者职业健康监护及其档案管理制度》；《职业病危害事故处置与报告制度》；《职业病危害应急救援与管理制度》；《岗位职业卫生操作规程》；《法律、法规、规章规定的其他职业病防治制度》</w:t>
            </w:r>
            <w:r>
              <w:rPr>
                <w:rFonts w:hint="eastAsia"/>
                <w:b w:val="0"/>
                <w:bCs w:val="0"/>
                <w:spacing w:val="-5"/>
                <w:sz w:val="24"/>
                <w:lang w:val="en-US"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pacing w:val="-5"/>
                <w:sz w:val="24"/>
                <w:lang w:val="en-US" w:eastAsia="zh-CN"/>
              </w:rPr>
              <w:t xml:space="preserve"> </w:t>
            </w:r>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QJEr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021</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3A3A6B37"/>
    <w:rsid w:val="3FBFE734"/>
    <w:rsid w:val="4F4B6F9C"/>
    <w:rsid w:val="674F666B"/>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Normal Indent"/>
    <w:basedOn w:val="1"/>
    <w:uiPriority w:val="0"/>
    <w:pPr>
      <w:spacing w:line="530" w:lineRule="exact"/>
      <w:ind w:firstLine="420" w:firstLineChars="200"/>
    </w:pPr>
    <w:rPr>
      <w:rFonts w:eastAsia="仿宋_GB2312"/>
      <w:kern w:val="0"/>
      <w:sz w:val="30"/>
      <w:szCs w:val="20"/>
    </w:rPr>
  </w:style>
  <w:style w:type="paragraph" w:styleId="4">
    <w:name w:val="Body Text"/>
    <w:basedOn w:val="1"/>
    <w:qFormat/>
    <w:uiPriority w:val="1"/>
    <w:rPr>
      <w:rFonts w:ascii="FZXiaoBiaoSong-B05S" w:hAnsi="FZXiaoBiaoSong-B05S" w:eastAsia="FZXiaoBiaoSong-B05S" w:cs="FZXiaoBiaoSong-B05S"/>
      <w:sz w:val="36"/>
      <w:szCs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style>
  <w:style w:type="paragraph" w:customStyle="1" w:styleId="11">
    <w:name w:val="Table Paragraph"/>
    <w:basedOn w:val="1"/>
    <w:qFormat/>
    <w:uiPriority w:val="1"/>
    <w:pPr>
      <w:spacing w:before="101"/>
      <w:ind w:left="107"/>
    </w:pPr>
    <w:rPr>
      <w:rFonts w:ascii="宋体" w:hAnsi="宋体" w:eastAsia="宋体" w:cs="宋体"/>
    </w:rPr>
  </w:style>
  <w:style w:type="paragraph" w:customStyle="1" w:styleId="12">
    <w:name w:val="报告正文"/>
    <w:basedOn w:val="1"/>
    <w:qFormat/>
    <w:uiPriority w:val="0"/>
    <w:pPr>
      <w:spacing w:line="460" w:lineRule="exact"/>
      <w:ind w:firstLine="560" w:firstLineChars="200"/>
    </w:pPr>
    <w:rPr>
      <w:rFonts w:eastAsia="仿宋_GB2312"/>
      <w:kern w:val="0"/>
      <w:sz w:val="28"/>
    </w:rPr>
  </w:style>
  <w:style w:type="paragraph" w:customStyle="1" w:styleId="13">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1032</Words>
  <Characters>1086</Characters>
  <TotalTime>1</TotalTime>
  <ScaleCrop>false</ScaleCrop>
  <LinksUpToDate>false</LinksUpToDate>
  <CharactersWithSpaces>1118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2022-09-05T02:29:32Z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