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C52A" w14:textId="77777777" w:rsidR="00A5472F" w:rsidRDefault="00271C2F">
      <w:pPr>
        <w:pStyle w:val="a9"/>
        <w:spacing w:before="156" w:after="156"/>
      </w:pPr>
      <w:r>
        <w:rPr>
          <w:rFonts w:hint="eastAsia"/>
        </w:rPr>
        <w:t>镇赉县东屏镇太平加油站</w:t>
      </w:r>
    </w:p>
    <w:p w14:paraId="62CAA0BE" w14:textId="77777777" w:rsidR="00A5472F" w:rsidRDefault="00271C2F">
      <w:pPr>
        <w:pStyle w:val="a9"/>
        <w:spacing w:before="156" w:after="156"/>
      </w:pPr>
      <w:r>
        <w:rPr>
          <w:rFonts w:hint="eastAsia"/>
        </w:rPr>
        <w:t>安全现状评价公示表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69"/>
        <w:gridCol w:w="2204"/>
        <w:gridCol w:w="1643"/>
        <w:gridCol w:w="2305"/>
      </w:tblGrid>
      <w:tr w:rsidR="00A5472F" w14:paraId="7FCF515E" w14:textId="77777777">
        <w:trPr>
          <w:trHeight w:val="910"/>
          <w:jc w:val="center"/>
        </w:trPr>
        <w:tc>
          <w:tcPr>
            <w:tcW w:w="556" w:type="dxa"/>
            <w:vMerge w:val="restart"/>
            <w:vAlign w:val="center"/>
          </w:tcPr>
          <w:p w14:paraId="1285739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69" w:type="dxa"/>
            <w:vAlign w:val="center"/>
          </w:tcPr>
          <w:p w14:paraId="24B118AA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04" w:type="dxa"/>
            <w:vAlign w:val="center"/>
          </w:tcPr>
          <w:p w14:paraId="390C084D" w14:textId="77777777" w:rsidR="00A5472F" w:rsidRDefault="00271C2F">
            <w:pPr>
              <w:pStyle w:val="a8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镇赉县东屏镇太平加油站</w:t>
            </w:r>
          </w:p>
          <w:p w14:paraId="1DA743F2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kern w:val="1"/>
                <w:sz w:val="24"/>
              </w:rPr>
              <w:t>安全现状评价</w:t>
            </w:r>
          </w:p>
        </w:tc>
        <w:tc>
          <w:tcPr>
            <w:tcW w:w="1643" w:type="dxa"/>
            <w:vAlign w:val="center"/>
          </w:tcPr>
          <w:p w14:paraId="34E669D1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05" w:type="dxa"/>
            <w:vAlign w:val="center"/>
          </w:tcPr>
          <w:p w14:paraId="067634AC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成品油零售业</w:t>
            </w:r>
          </w:p>
        </w:tc>
      </w:tr>
      <w:tr w:rsidR="00A5472F" w14:paraId="43DCAA0F" w14:textId="77777777">
        <w:trPr>
          <w:trHeight w:val="310"/>
          <w:jc w:val="center"/>
        </w:trPr>
        <w:tc>
          <w:tcPr>
            <w:tcW w:w="556" w:type="dxa"/>
            <w:vMerge/>
            <w:vAlign w:val="center"/>
          </w:tcPr>
          <w:p w14:paraId="4F718DC4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258738A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04" w:type="dxa"/>
            <w:vAlign w:val="center"/>
          </w:tcPr>
          <w:p w14:paraId="26555F15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佟桂琴</w:t>
            </w:r>
          </w:p>
        </w:tc>
        <w:tc>
          <w:tcPr>
            <w:tcW w:w="1643" w:type="dxa"/>
            <w:vAlign w:val="center"/>
          </w:tcPr>
          <w:p w14:paraId="342D7C53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05" w:type="dxa"/>
            <w:vAlign w:val="center"/>
          </w:tcPr>
          <w:p w14:paraId="500751DF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5472F" w14:paraId="39F8B94D" w14:textId="77777777">
        <w:trPr>
          <w:trHeight w:val="310"/>
          <w:jc w:val="center"/>
        </w:trPr>
        <w:tc>
          <w:tcPr>
            <w:tcW w:w="556" w:type="dxa"/>
            <w:vMerge/>
            <w:vAlign w:val="center"/>
          </w:tcPr>
          <w:p w14:paraId="0374D752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4751E69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152" w:type="dxa"/>
            <w:gridSpan w:val="3"/>
            <w:vAlign w:val="center"/>
          </w:tcPr>
          <w:p w14:paraId="0C1C6FC6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吉林省镇赉县东屏镇西力吐村后太平屯</w:t>
            </w:r>
          </w:p>
        </w:tc>
      </w:tr>
      <w:tr w:rsidR="00A5472F" w14:paraId="5B0D8AAD" w14:textId="77777777">
        <w:trPr>
          <w:trHeight w:val="2109"/>
          <w:jc w:val="center"/>
        </w:trPr>
        <w:tc>
          <w:tcPr>
            <w:tcW w:w="556" w:type="dxa"/>
            <w:vMerge/>
            <w:vAlign w:val="center"/>
          </w:tcPr>
          <w:p w14:paraId="15E9858F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AB57679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152" w:type="dxa"/>
            <w:gridSpan w:val="3"/>
            <w:vAlign w:val="center"/>
          </w:tcPr>
          <w:p w14:paraId="5E8ECA49" w14:textId="77777777" w:rsidR="00A5472F" w:rsidRDefault="00271C2F">
            <w:pPr>
              <w:pStyle w:val="a8"/>
              <w:jc w:val="left"/>
            </w:pPr>
            <w:r>
              <w:rPr>
                <w:rFonts w:hint="eastAsia"/>
              </w:rPr>
              <w:t>镇赉县东屏镇太平加油站规模：占地面积约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㎡，站房面积约</w:t>
            </w:r>
            <w:r>
              <w:rPr>
                <w:rFonts w:hint="eastAsia"/>
              </w:rPr>
              <w:t>99.06</w:t>
            </w:r>
            <w:r>
              <w:rPr>
                <w:rFonts w:hint="eastAsia"/>
              </w:rPr>
              <w:t>㎡，罩棚面积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㎡，罐区共设置储油罐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座，包括</w:t>
            </w:r>
            <w:r>
              <w:rPr>
                <w:rFonts w:hint="eastAsia"/>
              </w:rPr>
              <w:t>20m</w:t>
            </w:r>
            <w:r>
              <w:rPr>
                <w:rFonts w:hint="eastAsia"/>
              </w:rPr>
              <w:t>³</w:t>
            </w:r>
            <w:proofErr w:type="gramStart"/>
            <w:r>
              <w:rPr>
                <w:rFonts w:hint="eastAsia"/>
              </w:rPr>
              <w:t>埋地汽油罐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座，</w:t>
            </w:r>
            <w:r>
              <w:rPr>
                <w:rFonts w:hint="eastAsia"/>
              </w:rPr>
              <w:t>40m</w:t>
            </w:r>
            <w:r>
              <w:rPr>
                <w:rFonts w:hint="eastAsia"/>
              </w:rPr>
              <w:t>³埋地柴油罐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座，为三级加油站，加油区包括罩棚，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台自吸泵加油机；</w:t>
            </w:r>
            <w:proofErr w:type="gramStart"/>
            <w:r>
              <w:rPr>
                <w:rFonts w:hint="eastAsia"/>
              </w:rPr>
              <w:t>辅助区</w:t>
            </w:r>
            <w:proofErr w:type="gramEnd"/>
            <w:r>
              <w:rPr>
                <w:rFonts w:hint="eastAsia"/>
              </w:rPr>
              <w:t>包括站房、仓库等。</w:t>
            </w:r>
          </w:p>
          <w:p w14:paraId="26F3338E" w14:textId="77777777" w:rsidR="00A5472F" w:rsidRDefault="00271C2F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ascii="黑体" w:hAnsi="黑体" w:cs="黑体" w:hint="eastAsia"/>
                <w:kern w:val="2"/>
                <w:szCs w:val="22"/>
              </w:rPr>
              <w:t>该站东侧为县级公路，南侧为民房（三类民用建筑保护物）、民房烟筒（散发火花地点），西侧架空通讯线，北侧为架空通讯线和变压器。</w:t>
            </w:r>
          </w:p>
        </w:tc>
      </w:tr>
      <w:tr w:rsidR="00A5472F" w14:paraId="26740D93" w14:textId="77777777">
        <w:trPr>
          <w:trHeight w:val="610"/>
          <w:jc w:val="center"/>
        </w:trPr>
        <w:tc>
          <w:tcPr>
            <w:tcW w:w="556" w:type="dxa"/>
            <w:vMerge w:val="restart"/>
            <w:vAlign w:val="center"/>
          </w:tcPr>
          <w:p w14:paraId="318E029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69" w:type="dxa"/>
            <w:vAlign w:val="center"/>
          </w:tcPr>
          <w:p w14:paraId="30070CD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04" w:type="dxa"/>
            <w:vAlign w:val="center"/>
          </w:tcPr>
          <w:p w14:paraId="19854D3C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43" w:type="dxa"/>
            <w:vAlign w:val="center"/>
          </w:tcPr>
          <w:p w14:paraId="29F0AD32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05" w:type="dxa"/>
            <w:vAlign w:val="center"/>
          </w:tcPr>
          <w:p w14:paraId="11312C10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A5472F" w14:paraId="408DEC90" w14:textId="77777777">
        <w:trPr>
          <w:trHeight w:val="610"/>
          <w:jc w:val="center"/>
        </w:trPr>
        <w:tc>
          <w:tcPr>
            <w:tcW w:w="556" w:type="dxa"/>
            <w:vMerge/>
            <w:vAlign w:val="center"/>
          </w:tcPr>
          <w:p w14:paraId="4D3976E0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0924B3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04" w:type="dxa"/>
            <w:vAlign w:val="center"/>
          </w:tcPr>
          <w:p w14:paraId="775D3128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43" w:type="dxa"/>
            <w:vAlign w:val="center"/>
          </w:tcPr>
          <w:p w14:paraId="4D33CF1B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05" w:type="dxa"/>
            <w:vAlign w:val="center"/>
          </w:tcPr>
          <w:p w14:paraId="579D1726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A5472F" w14:paraId="1034EA90" w14:textId="77777777">
        <w:trPr>
          <w:trHeight w:val="310"/>
          <w:jc w:val="center"/>
        </w:trPr>
        <w:tc>
          <w:tcPr>
            <w:tcW w:w="556" w:type="dxa"/>
            <w:vMerge/>
            <w:vAlign w:val="center"/>
          </w:tcPr>
          <w:p w14:paraId="1FB92F66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E5C22CA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04" w:type="dxa"/>
            <w:vAlign w:val="center"/>
          </w:tcPr>
          <w:p w14:paraId="4FAF64D7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43" w:type="dxa"/>
            <w:vAlign w:val="center"/>
          </w:tcPr>
          <w:p w14:paraId="16BC748F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05" w:type="dxa"/>
            <w:vAlign w:val="center"/>
          </w:tcPr>
          <w:p w14:paraId="56D04D5E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A5472F" w14:paraId="6CB68616" w14:textId="77777777">
        <w:trPr>
          <w:trHeight w:val="910"/>
          <w:jc w:val="center"/>
        </w:trPr>
        <w:tc>
          <w:tcPr>
            <w:tcW w:w="556" w:type="dxa"/>
            <w:vMerge/>
            <w:vAlign w:val="center"/>
          </w:tcPr>
          <w:p w14:paraId="591760DD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0EBF438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04" w:type="dxa"/>
            <w:vAlign w:val="center"/>
          </w:tcPr>
          <w:p w14:paraId="270504C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43" w:type="dxa"/>
            <w:vAlign w:val="center"/>
          </w:tcPr>
          <w:p w14:paraId="0695FB14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05" w:type="dxa"/>
            <w:vAlign w:val="center"/>
          </w:tcPr>
          <w:p w14:paraId="42CDD022" w14:textId="750CDE4E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</w:t>
            </w:r>
            <w:proofErr w:type="gramStart"/>
            <w:r>
              <w:rPr>
                <w:rFonts w:hint="eastAsia"/>
                <w:sz w:val="24"/>
                <w:szCs w:val="24"/>
              </w:rPr>
              <w:t>崔</w:t>
            </w:r>
            <w:proofErr w:type="gramEnd"/>
            <w:r>
              <w:rPr>
                <w:rFonts w:hint="eastAsia"/>
                <w:sz w:val="24"/>
                <w:szCs w:val="24"/>
              </w:rPr>
              <w:t>译文</w:t>
            </w:r>
            <w:r w:rsidR="008F5E0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郭宏、邓艾、杜东雷</w:t>
            </w:r>
          </w:p>
        </w:tc>
      </w:tr>
      <w:tr w:rsidR="00A5472F" w14:paraId="7B8EE2D1" w14:textId="77777777">
        <w:trPr>
          <w:trHeight w:val="910"/>
          <w:jc w:val="center"/>
        </w:trPr>
        <w:tc>
          <w:tcPr>
            <w:tcW w:w="556" w:type="dxa"/>
            <w:vMerge/>
            <w:vAlign w:val="center"/>
          </w:tcPr>
          <w:p w14:paraId="3142DCC0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D1B74CF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152" w:type="dxa"/>
            <w:gridSpan w:val="3"/>
            <w:vAlign w:val="center"/>
          </w:tcPr>
          <w:p w14:paraId="515D18D7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</w:tr>
      <w:tr w:rsidR="00A5472F" w14:paraId="2FBE42E6" w14:textId="77777777">
        <w:trPr>
          <w:trHeight w:val="310"/>
          <w:jc w:val="center"/>
        </w:trPr>
        <w:tc>
          <w:tcPr>
            <w:tcW w:w="556" w:type="dxa"/>
            <w:vMerge w:val="restart"/>
            <w:vAlign w:val="center"/>
          </w:tcPr>
          <w:p w14:paraId="33A06FA7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69" w:type="dxa"/>
            <w:vAlign w:val="center"/>
          </w:tcPr>
          <w:p w14:paraId="2CE819BC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04" w:type="dxa"/>
            <w:vAlign w:val="center"/>
          </w:tcPr>
          <w:p w14:paraId="5F300063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43" w:type="dxa"/>
            <w:vAlign w:val="center"/>
          </w:tcPr>
          <w:p w14:paraId="4F8BAD8E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05" w:type="dxa"/>
            <w:vAlign w:val="center"/>
          </w:tcPr>
          <w:p w14:paraId="3C8E0763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5472F" w14:paraId="00E60EBC" w14:textId="77777777">
        <w:trPr>
          <w:trHeight w:val="310"/>
          <w:jc w:val="center"/>
        </w:trPr>
        <w:tc>
          <w:tcPr>
            <w:tcW w:w="556" w:type="dxa"/>
            <w:vMerge/>
            <w:vAlign w:val="center"/>
          </w:tcPr>
          <w:p w14:paraId="3119348B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F017ACF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152" w:type="dxa"/>
            <w:gridSpan w:val="3"/>
            <w:vAlign w:val="center"/>
          </w:tcPr>
          <w:p w14:paraId="66D12785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5472F" w14:paraId="22D3BE4C" w14:textId="77777777">
        <w:trPr>
          <w:trHeight w:val="610"/>
          <w:jc w:val="center"/>
        </w:trPr>
        <w:tc>
          <w:tcPr>
            <w:tcW w:w="556" w:type="dxa"/>
            <w:vMerge/>
            <w:vAlign w:val="center"/>
          </w:tcPr>
          <w:p w14:paraId="14CFE79D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6F5370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152" w:type="dxa"/>
            <w:gridSpan w:val="3"/>
            <w:vAlign w:val="center"/>
          </w:tcPr>
          <w:p w14:paraId="084D9181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石春有、郭宏</w:t>
            </w:r>
          </w:p>
        </w:tc>
      </w:tr>
      <w:tr w:rsidR="00A5472F" w14:paraId="5395E45B" w14:textId="77777777">
        <w:trPr>
          <w:trHeight w:val="610"/>
          <w:jc w:val="center"/>
        </w:trPr>
        <w:tc>
          <w:tcPr>
            <w:tcW w:w="556" w:type="dxa"/>
            <w:vMerge/>
            <w:vAlign w:val="center"/>
          </w:tcPr>
          <w:p w14:paraId="30381CD3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3B6971D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152" w:type="dxa"/>
            <w:gridSpan w:val="3"/>
            <w:vAlign w:val="center"/>
          </w:tcPr>
          <w:p w14:paraId="3ED02E88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5472F" w14:paraId="6D1DE8A9" w14:textId="77777777">
        <w:trPr>
          <w:trHeight w:val="610"/>
          <w:jc w:val="center"/>
        </w:trPr>
        <w:tc>
          <w:tcPr>
            <w:tcW w:w="556" w:type="dxa"/>
            <w:vMerge/>
            <w:vAlign w:val="center"/>
          </w:tcPr>
          <w:p w14:paraId="386665CE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B5C5525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152" w:type="dxa"/>
            <w:gridSpan w:val="3"/>
            <w:vAlign w:val="center"/>
          </w:tcPr>
          <w:p w14:paraId="303B46F5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</w:tr>
      <w:tr w:rsidR="00A5472F" w14:paraId="00EE139B" w14:textId="77777777">
        <w:trPr>
          <w:trHeight w:val="838"/>
          <w:jc w:val="center"/>
        </w:trPr>
        <w:tc>
          <w:tcPr>
            <w:tcW w:w="556" w:type="dxa"/>
            <w:vMerge/>
            <w:vAlign w:val="center"/>
          </w:tcPr>
          <w:p w14:paraId="2F739C6C" w14:textId="77777777" w:rsidR="00A5472F" w:rsidRDefault="00A5472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144ACFC" w14:textId="77777777" w:rsidR="00A5472F" w:rsidRDefault="00271C2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152" w:type="dxa"/>
            <w:gridSpan w:val="3"/>
            <w:vAlign w:val="center"/>
          </w:tcPr>
          <w:p w14:paraId="42ACF98B" w14:textId="77777777" w:rsidR="00A5472F" w:rsidRDefault="00271C2F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依据《汽车加油加气加氢站技术标准》（</w:t>
            </w:r>
            <w:r>
              <w:rPr>
                <w:rFonts w:hint="eastAsia"/>
                <w:sz w:val="24"/>
                <w:szCs w:val="24"/>
              </w:rPr>
              <w:t>GB50156-2021</w:t>
            </w:r>
            <w:r>
              <w:rPr>
                <w:rFonts w:hint="eastAsia"/>
                <w:sz w:val="24"/>
                <w:szCs w:val="24"/>
              </w:rPr>
              <w:t>），</w:t>
            </w:r>
            <w:proofErr w:type="gramStart"/>
            <w:r>
              <w:rPr>
                <w:rFonts w:hint="eastAsia"/>
                <w:sz w:val="24"/>
                <w:szCs w:val="24"/>
              </w:rPr>
              <w:t>本评价</w:t>
            </w:r>
            <w:proofErr w:type="gramEnd"/>
            <w:r>
              <w:rPr>
                <w:rFonts w:hint="eastAsia"/>
                <w:sz w:val="24"/>
                <w:szCs w:val="24"/>
              </w:rPr>
              <w:t>认为镇赉县东屏镇太平加油站的安全条件符合运行要求，具备安全生产条件。</w:t>
            </w:r>
          </w:p>
        </w:tc>
      </w:tr>
    </w:tbl>
    <w:p w14:paraId="4872D289" w14:textId="77777777" w:rsidR="00A5472F" w:rsidRDefault="00271C2F">
      <w:pPr>
        <w:pStyle w:val="a7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7803B892" w14:textId="77777777" w:rsidR="00A5472F" w:rsidRDefault="00271C2F">
      <w:pPr>
        <w:pStyle w:val="a7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6319D1A7" w14:textId="4BB132F2" w:rsidR="00A5472F" w:rsidRDefault="00271C2F">
      <w:pPr>
        <w:pStyle w:val="a8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8CF1FF" wp14:editId="6A2CA6EA">
            <wp:simplePos x="0" y="0"/>
            <wp:positionH relativeFrom="column">
              <wp:posOffset>-29845</wp:posOffset>
            </wp:positionH>
            <wp:positionV relativeFrom="paragraph">
              <wp:posOffset>393065</wp:posOffset>
            </wp:positionV>
            <wp:extent cx="5269865" cy="7026910"/>
            <wp:effectExtent l="0" t="0" r="3175" b="13970"/>
            <wp:wrapSquare wrapText="bothSides"/>
            <wp:docPr id="1" name="图片 1" descr="IMG_20211103_10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1103_1042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2F"/>
    <w:rsid w:val="00271C2F"/>
    <w:rsid w:val="008F5E06"/>
    <w:rsid w:val="00A5472F"/>
    <w:rsid w:val="03775FF9"/>
    <w:rsid w:val="04837537"/>
    <w:rsid w:val="063C0977"/>
    <w:rsid w:val="0F2A7BDA"/>
    <w:rsid w:val="17164D2D"/>
    <w:rsid w:val="1B3B7B27"/>
    <w:rsid w:val="1D7D5DE0"/>
    <w:rsid w:val="1E7B2211"/>
    <w:rsid w:val="1EB02E22"/>
    <w:rsid w:val="1F10002E"/>
    <w:rsid w:val="1FFB2D51"/>
    <w:rsid w:val="266D75E2"/>
    <w:rsid w:val="2AC1489B"/>
    <w:rsid w:val="2C243291"/>
    <w:rsid w:val="2CFB1290"/>
    <w:rsid w:val="2DE346CD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4F44E62"/>
    <w:rsid w:val="569B408C"/>
    <w:rsid w:val="591D7843"/>
    <w:rsid w:val="592F0FE5"/>
    <w:rsid w:val="5D9937A8"/>
    <w:rsid w:val="636675A7"/>
    <w:rsid w:val="64BE2E12"/>
    <w:rsid w:val="64D16366"/>
    <w:rsid w:val="661B5E1C"/>
    <w:rsid w:val="685E432C"/>
    <w:rsid w:val="6B4F07CF"/>
    <w:rsid w:val="6DE276AB"/>
    <w:rsid w:val="6E0A5012"/>
    <w:rsid w:val="705B310F"/>
    <w:rsid w:val="7063439B"/>
    <w:rsid w:val="7135192B"/>
    <w:rsid w:val="73274DAB"/>
    <w:rsid w:val="768E664E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041C2"/>
  <w15:docId w15:val="{63B64774-A589-4266-B078-726F699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</w:style>
  <w:style w:type="paragraph" w:styleId="a4">
    <w:name w:val="Body Text"/>
    <w:basedOn w:val="a"/>
    <w:next w:val="TOC1"/>
    <w:qFormat/>
    <w:pPr>
      <w:spacing w:after="120"/>
    </w:p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5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styleId="a6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customStyle="1" w:styleId="a7">
    <w:name w:val="表头"/>
    <w:next w:val="a8"/>
    <w:qFormat/>
    <w:pPr>
      <w:spacing w:beforeLines="50" w:before="50" w:afterLines="50" w:after="50"/>
      <w:jc w:val="center"/>
    </w:pPr>
    <w:rPr>
      <w:rFonts w:eastAsia="黑体" w:cstheme="minorBidi"/>
      <w:sz w:val="21"/>
      <w:szCs w:val="21"/>
    </w:rPr>
  </w:style>
  <w:style w:type="paragraph" w:customStyle="1" w:styleId="a8">
    <w:name w:val="表格"/>
    <w:next w:val="a"/>
    <w:qFormat/>
    <w:pPr>
      <w:jc w:val="center"/>
    </w:pPr>
    <w:rPr>
      <w:rFonts w:eastAsia="黑体" w:cstheme="minorBidi"/>
      <w:sz w:val="21"/>
      <w:szCs w:val="21"/>
    </w:rPr>
  </w:style>
  <w:style w:type="paragraph" w:customStyle="1" w:styleId="a9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b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c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d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e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f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3</cp:revision>
  <cp:lastPrinted>2021-05-11T01:06:00Z</cp:lastPrinted>
  <dcterms:created xsi:type="dcterms:W3CDTF">2021-04-01T07:21:00Z</dcterms:created>
  <dcterms:modified xsi:type="dcterms:W3CDTF">2023-08-15T00:57:00Z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81EB4435353A4D7B9A89B4991E7F6930</vt:lpwstr>
  </property>
</Properties>
</file>