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7F0" w14:textId="11C4E847" w:rsidR="000A0250" w:rsidRDefault="00150AC1">
      <w:pPr>
        <w:pStyle w:val="a5"/>
        <w:spacing w:before="156" w:after="156"/>
      </w:pPr>
      <w:r>
        <w:rPr>
          <w:rFonts w:hint="eastAsia"/>
        </w:rPr>
        <w:t>公主岭市君顺能源有限公司公主岭市君顺加油站</w:t>
      </w:r>
    </w:p>
    <w:p w14:paraId="4B4CB1D6" w14:textId="3CB24A6D" w:rsidR="000A0250" w:rsidRDefault="001E0A51">
      <w:pPr>
        <w:pStyle w:val="a5"/>
        <w:spacing w:before="156" w:after="156"/>
      </w:pPr>
      <w:r>
        <w:rPr>
          <w:rFonts w:hint="eastAsia"/>
        </w:rPr>
        <w:t>安全</w:t>
      </w:r>
      <w:r w:rsidR="00150AC1">
        <w:rPr>
          <w:rFonts w:hint="eastAsia"/>
        </w:rPr>
        <w:t>现状</w:t>
      </w:r>
      <w:r>
        <w:rPr>
          <w:rFonts w:hint="eastAsia"/>
        </w:rPr>
        <w:t>评价</w:t>
      </w:r>
      <w:r w:rsidR="00A32475"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A0250" w14:paraId="3FB3FFE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84F3BC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72B6183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ECCC429" w14:textId="1EDE0A8C" w:rsidR="000A0250" w:rsidRDefault="00150AC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公主岭市君顺能源有限公司公主岭市君顺加油站</w:t>
            </w:r>
            <w:r w:rsidR="001E0A51">
              <w:rPr>
                <w:rFonts w:hint="eastAsia"/>
                <w:sz w:val="24"/>
                <w:szCs w:val="24"/>
              </w:rPr>
              <w:t>安全</w:t>
            </w:r>
            <w:r>
              <w:rPr>
                <w:rFonts w:hint="eastAsia"/>
                <w:sz w:val="24"/>
                <w:szCs w:val="24"/>
              </w:rPr>
              <w:t>现状</w:t>
            </w:r>
            <w:r w:rsidR="001E0A51"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1659" w:type="dxa"/>
            <w:vAlign w:val="center"/>
          </w:tcPr>
          <w:p w14:paraId="208E373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AE9A03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 w:rsidR="000A0250" w14:paraId="02B578B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76DE56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07D85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E02AB84" w14:textId="1D79D147" w:rsidR="000A0250" w:rsidRPr="004B7D94" w:rsidRDefault="00150AC1">
            <w:pPr>
              <w:pStyle w:val="ac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kern w:val="1"/>
                <w:sz w:val="24"/>
                <w:szCs w:val="24"/>
              </w:rPr>
              <w:t>薛原</w:t>
            </w:r>
          </w:p>
        </w:tc>
        <w:tc>
          <w:tcPr>
            <w:tcW w:w="1659" w:type="dxa"/>
            <w:vAlign w:val="center"/>
          </w:tcPr>
          <w:p w14:paraId="677AA5BE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7354C1A" w14:textId="71253D6C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150AC1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41AF0A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E57E5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2DAD3A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4C5B42B5" w14:textId="48FEF780" w:rsidR="000A0250" w:rsidRDefault="00150AC1">
            <w:pPr>
              <w:pStyle w:val="ac"/>
              <w:rPr>
                <w:sz w:val="24"/>
                <w:szCs w:val="24"/>
              </w:rPr>
            </w:pPr>
            <w:r w:rsidRPr="00150AC1">
              <w:rPr>
                <w:rFonts w:hint="eastAsia"/>
                <w:sz w:val="24"/>
                <w:szCs w:val="24"/>
              </w:rPr>
              <w:t>公主岭市怀德镇明伦村（公永路</w:t>
            </w:r>
            <w:r w:rsidRPr="00150AC1">
              <w:rPr>
                <w:rFonts w:hint="eastAsia"/>
                <w:sz w:val="24"/>
                <w:szCs w:val="24"/>
              </w:rPr>
              <w:t>4</w:t>
            </w:r>
            <w:r w:rsidRPr="00150AC1">
              <w:rPr>
                <w:sz w:val="24"/>
                <w:szCs w:val="24"/>
              </w:rPr>
              <w:t>6</w:t>
            </w:r>
            <w:r w:rsidRPr="00150AC1">
              <w:rPr>
                <w:rFonts w:hint="eastAsia"/>
                <w:sz w:val="24"/>
                <w:szCs w:val="24"/>
              </w:rPr>
              <w:t>公里处）</w:t>
            </w:r>
          </w:p>
        </w:tc>
      </w:tr>
      <w:tr w:rsidR="000A0250" w14:paraId="69E2D2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88E54F5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5E409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5E128B0" w14:textId="072FD83E" w:rsidR="000A0250" w:rsidRDefault="00150AC1">
            <w:pPr>
              <w:pStyle w:val="ac"/>
              <w:jc w:val="both"/>
              <w:rPr>
                <w:sz w:val="24"/>
                <w:szCs w:val="24"/>
              </w:rPr>
            </w:pPr>
            <w:r w:rsidRPr="00150AC1">
              <w:rPr>
                <w:rFonts w:hint="eastAsia"/>
                <w:kern w:val="1"/>
              </w:rPr>
              <w:t>该站设有</w:t>
            </w:r>
            <w:r w:rsidRPr="00150AC1">
              <w:rPr>
                <w:kern w:val="1"/>
              </w:rPr>
              <w:t>2</w:t>
            </w:r>
            <w:r w:rsidRPr="00150AC1">
              <w:rPr>
                <w:rFonts w:hint="eastAsia"/>
                <w:kern w:val="1"/>
              </w:rPr>
              <w:t>座</w:t>
            </w:r>
            <w:r w:rsidRPr="00150AC1">
              <w:rPr>
                <w:kern w:val="1"/>
              </w:rPr>
              <w:t>5</w:t>
            </w:r>
            <w:r w:rsidRPr="00150AC1">
              <w:rPr>
                <w:rFonts w:hint="eastAsia"/>
                <w:kern w:val="1"/>
              </w:rPr>
              <w:t>0</w:t>
            </w:r>
            <w:r w:rsidRPr="00150AC1">
              <w:rPr>
                <w:kern w:val="1"/>
              </w:rPr>
              <w:t>m</w:t>
            </w:r>
            <w:r w:rsidRPr="00150AC1">
              <w:rPr>
                <w:kern w:val="1"/>
                <w:vertAlign w:val="superscript"/>
              </w:rPr>
              <w:t>3</w:t>
            </w:r>
            <w:r w:rsidRPr="00150AC1">
              <w:rPr>
                <w:rFonts w:hint="eastAsia"/>
                <w:kern w:val="1"/>
              </w:rPr>
              <w:t>卧式埋地双层</w:t>
            </w:r>
            <w:r w:rsidRPr="00150AC1">
              <w:rPr>
                <w:kern w:val="1"/>
              </w:rPr>
              <w:t>乙醇汽油储罐，</w:t>
            </w:r>
            <w:r w:rsidRPr="00150AC1">
              <w:rPr>
                <w:kern w:val="1"/>
              </w:rPr>
              <w:t>2</w:t>
            </w:r>
            <w:r w:rsidRPr="00150AC1">
              <w:rPr>
                <w:rFonts w:hint="eastAsia"/>
                <w:kern w:val="1"/>
              </w:rPr>
              <w:t>座</w:t>
            </w:r>
            <w:r w:rsidRPr="00150AC1">
              <w:rPr>
                <w:kern w:val="1"/>
              </w:rPr>
              <w:t>5</w:t>
            </w:r>
            <w:r w:rsidRPr="00150AC1">
              <w:rPr>
                <w:rFonts w:hint="eastAsia"/>
                <w:kern w:val="1"/>
              </w:rPr>
              <w:t>0</w:t>
            </w:r>
            <w:r w:rsidRPr="00150AC1">
              <w:rPr>
                <w:kern w:val="1"/>
              </w:rPr>
              <w:t>m</w:t>
            </w:r>
            <w:r w:rsidRPr="00150AC1">
              <w:rPr>
                <w:kern w:val="1"/>
                <w:vertAlign w:val="superscript"/>
              </w:rPr>
              <w:t>3</w:t>
            </w:r>
            <w:r w:rsidRPr="00150AC1">
              <w:rPr>
                <w:rFonts w:hint="eastAsia"/>
                <w:kern w:val="1"/>
              </w:rPr>
              <w:t>卧式埋地双层</w:t>
            </w:r>
            <w:r w:rsidRPr="00150AC1">
              <w:rPr>
                <w:kern w:val="1"/>
              </w:rPr>
              <w:t>柴油储罐。</w:t>
            </w:r>
          </w:p>
        </w:tc>
      </w:tr>
      <w:tr w:rsidR="000A0250" w14:paraId="37E5C6D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DB1C42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67BDDAB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797D59B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8E72E7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37EDC68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 w:rsidR="000A0250" w14:paraId="7F1DB4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0AF15E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FDA57E7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466AE799" w14:textId="1FFCED05" w:rsidR="000A0250" w:rsidRDefault="00150AC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0E43B8A5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70F402C" w14:textId="1B62167D" w:rsidR="000A0250" w:rsidRDefault="00150AC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蒲秀荣</w:t>
            </w:r>
          </w:p>
        </w:tc>
      </w:tr>
      <w:tr w:rsidR="000A0250" w14:paraId="0D7752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A6188A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C08409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73A20417" w14:textId="74461119" w:rsidR="000A0250" w:rsidRDefault="00150AC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陈振芳</w:t>
            </w:r>
          </w:p>
        </w:tc>
        <w:tc>
          <w:tcPr>
            <w:tcW w:w="1659" w:type="dxa"/>
            <w:vAlign w:val="center"/>
          </w:tcPr>
          <w:p w14:paraId="2983EB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4EE8529" w14:textId="21D535BC" w:rsidR="000A0250" w:rsidRDefault="00150AC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0A0250" w14:paraId="604157F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B08BAB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EAE90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EF98295" w14:textId="0E1AF84D" w:rsidR="000A0250" w:rsidRDefault="00150AC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张冬梅</w:t>
            </w:r>
          </w:p>
        </w:tc>
        <w:tc>
          <w:tcPr>
            <w:tcW w:w="1659" w:type="dxa"/>
            <w:vAlign w:val="center"/>
          </w:tcPr>
          <w:p w14:paraId="2513895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79878D36" w14:textId="1FC92B9A" w:rsidR="000A0250" w:rsidRDefault="00150AC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何流、冷兆国、郭宏、崔译文</w:t>
            </w:r>
          </w:p>
        </w:tc>
      </w:tr>
      <w:tr w:rsidR="000A0250" w14:paraId="2CB454A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5D76DD3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D171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498C76BF" w14:textId="575D77A0" w:rsidR="000A0250" w:rsidRDefault="00150AC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陈振芳</w:t>
            </w:r>
          </w:p>
        </w:tc>
      </w:tr>
      <w:tr w:rsidR="000A0250" w14:paraId="40AF27A9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D21622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24BECB2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468398D7" w14:textId="07D3222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150AC1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50AC1"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418B40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6366AE2" w14:textId="14413E2B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603636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50AC1"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6D054D6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A9143C8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E20AC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67C433D4" w14:textId="1E1ADD64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150AC1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CEF39F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77CFF1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2715B3F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1C63BC1" w14:textId="6FAD97E1" w:rsidR="000A0250" w:rsidRDefault="00150AC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陈振芳</w:t>
            </w:r>
            <w:r w:rsidR="00A32475">
              <w:rPr>
                <w:rFonts w:hint="eastAsia"/>
                <w:sz w:val="24"/>
                <w:szCs w:val="24"/>
              </w:rPr>
              <w:t>、杜东雷</w:t>
            </w:r>
          </w:p>
        </w:tc>
      </w:tr>
      <w:tr w:rsidR="000A0250" w14:paraId="70CB7D8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08FDDA6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36FB3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A4FC1D2" w14:textId="68C9D3F0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603636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50AC1"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71EEAA4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99AFDD4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0895F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66D15EC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</w:tr>
      <w:tr w:rsidR="000A0250" w14:paraId="6111398A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C06E0F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EF27ED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17F9B13D" w14:textId="58E9EC93" w:rsidR="000A0250" w:rsidRDefault="00150AC1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公主岭市君顺能源有限公司公主岭市君顺加油站</w:t>
            </w:r>
            <w:r w:rsidR="00A32475"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 w14:paraId="6CD94ECD" w14:textId="77777777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7B10F59" w14:textId="50B1ACF4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 w14:paraId="388A40F9" w14:textId="3504E41B" w:rsidR="001E0A51" w:rsidRDefault="001E0A51" w:rsidP="001E0A51">
      <w:pPr>
        <w:pStyle w:val="ac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C811A82" w14:textId="67ACB19F" w:rsidR="00AE75CA" w:rsidRPr="001E0A51" w:rsidRDefault="004B7D94" w:rsidP="001E0A51">
      <w:pPr>
        <w:pStyle w:val="ac"/>
      </w:pPr>
      <w:r w:rsidRPr="004B7D94">
        <w:lastRenderedPageBreak/>
        <w:t xml:space="preserve"> </w:t>
      </w:r>
      <w:r w:rsidR="00DC71DC" w:rsidRPr="00DC71DC">
        <w:t xml:space="preserve">  </w:t>
      </w:r>
      <w:r w:rsidR="00A55470" w:rsidRPr="00A55470">
        <w:t xml:space="preserve"> </w:t>
      </w:r>
      <w:r w:rsidR="00553073" w:rsidRPr="00553073">
        <w:t xml:space="preserve"> </w:t>
      </w:r>
      <w:r w:rsidR="00C65FE1" w:rsidRPr="00C65FE1">
        <w:t xml:space="preserve"> </w:t>
      </w:r>
      <w:r w:rsidR="00150AC1">
        <w:rPr>
          <w:noProof/>
        </w:rPr>
        <w:drawing>
          <wp:inline distT="0" distB="0" distL="0" distR="0" wp14:anchorId="0EC0E0F9" wp14:editId="5E574CE2">
            <wp:extent cx="5274310" cy="6629400"/>
            <wp:effectExtent l="0" t="0" r="2540" b="0"/>
            <wp:docPr id="836895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AC1" w:rsidRPr="00150AC1">
        <w:t xml:space="preserve"> </w:t>
      </w:r>
      <w:r w:rsidR="00150AC1">
        <w:rPr>
          <w:noProof/>
        </w:rPr>
        <w:lastRenderedPageBreak/>
        <w:drawing>
          <wp:inline distT="0" distB="0" distL="0" distR="0" wp14:anchorId="7C1496D0" wp14:editId="672700D1">
            <wp:extent cx="5274310" cy="3957320"/>
            <wp:effectExtent l="0" t="0" r="2540" b="5080"/>
            <wp:docPr id="16982070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5CA" w:rsidRPr="001E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58EA" w14:textId="77777777" w:rsidR="00FA248D" w:rsidRDefault="00FA248D" w:rsidP="008023C8">
      <w:r>
        <w:separator/>
      </w:r>
    </w:p>
  </w:endnote>
  <w:endnote w:type="continuationSeparator" w:id="0">
    <w:p w14:paraId="3277DD40" w14:textId="77777777" w:rsidR="00FA248D" w:rsidRDefault="00FA248D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D07F" w14:textId="77777777" w:rsidR="00FA248D" w:rsidRDefault="00FA248D" w:rsidP="008023C8">
      <w:r>
        <w:separator/>
      </w:r>
    </w:p>
  </w:footnote>
  <w:footnote w:type="continuationSeparator" w:id="0">
    <w:p w14:paraId="42961D83" w14:textId="77777777" w:rsidR="00FA248D" w:rsidRDefault="00FA248D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50"/>
    <w:rsid w:val="00044D59"/>
    <w:rsid w:val="00061B19"/>
    <w:rsid w:val="000A0250"/>
    <w:rsid w:val="000B3B76"/>
    <w:rsid w:val="000D79EA"/>
    <w:rsid w:val="00150AC1"/>
    <w:rsid w:val="00152380"/>
    <w:rsid w:val="001832E9"/>
    <w:rsid w:val="001E0A51"/>
    <w:rsid w:val="0026736E"/>
    <w:rsid w:val="00296978"/>
    <w:rsid w:val="002B3D63"/>
    <w:rsid w:val="002F1BE2"/>
    <w:rsid w:val="0035343E"/>
    <w:rsid w:val="003B5BCB"/>
    <w:rsid w:val="004B7D94"/>
    <w:rsid w:val="00553073"/>
    <w:rsid w:val="0055587E"/>
    <w:rsid w:val="005D28F6"/>
    <w:rsid w:val="005D462C"/>
    <w:rsid w:val="00603636"/>
    <w:rsid w:val="00633975"/>
    <w:rsid w:val="007D23C7"/>
    <w:rsid w:val="007D545C"/>
    <w:rsid w:val="008023C8"/>
    <w:rsid w:val="0095475B"/>
    <w:rsid w:val="009A79EC"/>
    <w:rsid w:val="00A32475"/>
    <w:rsid w:val="00A55470"/>
    <w:rsid w:val="00AE75CA"/>
    <w:rsid w:val="00B8617B"/>
    <w:rsid w:val="00BB0B0E"/>
    <w:rsid w:val="00C225A3"/>
    <w:rsid w:val="00C506CB"/>
    <w:rsid w:val="00C65FE1"/>
    <w:rsid w:val="00CD42E1"/>
    <w:rsid w:val="00D71856"/>
    <w:rsid w:val="00DC71DC"/>
    <w:rsid w:val="00E5113C"/>
    <w:rsid w:val="00FA248D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4517D"/>
  <w15:docId w15:val="{4F881225-CDBF-42B8-8BD4-9A38C7F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高 从</cp:lastModifiedBy>
  <cp:revision>23</cp:revision>
  <dcterms:created xsi:type="dcterms:W3CDTF">2021-09-16T02:06:00Z</dcterms:created>
  <dcterms:modified xsi:type="dcterms:W3CDTF">2023-09-13T05:35:00Z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