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7"/>
        <w:rPr>
          <w:sz w:val="8"/>
        </w:rPr>
      </w:pPr>
    </w:p>
    <w:tbl>
      <w:tblPr>
        <w:tblStyle w:val="8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6"/>
        <w:gridCol w:w="3005"/>
        <w:gridCol w:w="1907"/>
        <w:gridCol w:w="118"/>
        <w:gridCol w:w="23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建设单位</w:t>
            </w:r>
          </w:p>
        </w:tc>
        <w:tc>
          <w:tcPr>
            <w:tcW w:w="7369" w:type="dxa"/>
            <w:gridSpan w:val="4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成来电气科技有限公司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b/>
                <w:bCs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z w:val="24"/>
                <w:lang w:val="en-US" w:eastAsia="zh-Hans"/>
              </w:rPr>
              <w:t>项目类别</w:t>
            </w:r>
          </w:p>
        </w:tc>
        <w:tc>
          <w:tcPr>
            <w:tcW w:w="7369" w:type="dxa"/>
            <w:gridSpan w:val="4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4"/>
              </w:rPr>
            </w:pPr>
            <w:r>
              <w:rPr>
                <w:rFonts w:hint="eastAsia"/>
              </w:rPr>
              <w:t xml:space="preserve">□预评 </w:t>
            </w:r>
            <w:r>
              <w:t xml:space="preserve">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控评 </w:t>
            </w:r>
            <w:r>
              <w:t xml:space="preserve">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现评 </w:t>
            </w:r>
            <w:r>
              <w:t xml:space="preserve">       </w:t>
            </w:r>
            <w:r>
              <w:rPr>
                <w:rFonts w:eastAsia="仿宋_GB2312"/>
                <w:sz w:val="28"/>
                <w:szCs w:val="28"/>
              </w:rPr>
              <w:sym w:font="Wingdings 2" w:char="0052"/>
            </w:r>
            <w:r>
              <w:rPr>
                <w:rFonts w:hint="eastAsia"/>
                <w:lang w:val="en-US" w:eastAsia="zh-Hans"/>
              </w:rPr>
              <w:t>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项目地址</w:t>
            </w:r>
          </w:p>
        </w:tc>
        <w:tc>
          <w:tcPr>
            <w:tcW w:w="7369" w:type="dxa"/>
            <w:gridSpan w:val="4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Hans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吉林省白城市镇赉县工业园区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联系人</w:t>
            </w:r>
          </w:p>
        </w:tc>
        <w:tc>
          <w:tcPr>
            <w:tcW w:w="3005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pacing w:val="-5"/>
                <w:sz w:val="24"/>
                <w:szCs w:val="22"/>
                <w:lang w:val="en-US" w:eastAsia="zh-CN" w:bidi="ar-SA"/>
              </w:rPr>
              <w:t>李嘉欣</w:t>
            </w:r>
          </w:p>
        </w:tc>
        <w:tc>
          <w:tcPr>
            <w:tcW w:w="1907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Hans" w:bidi="ar-SA"/>
              </w:rPr>
              <w:t>电话</w:t>
            </w:r>
          </w:p>
        </w:tc>
        <w:tc>
          <w:tcPr>
            <w:tcW w:w="2457" w:type="dxa"/>
            <w:gridSpan w:val="2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Hans" w:bidi="ar-SA"/>
              </w:rPr>
            </w:pPr>
            <w:r>
              <w:rPr>
                <w:rFonts w:hint="eastAsia" w:cs="宋体"/>
                <w:b w:val="0"/>
                <w:bCs w:val="0"/>
                <w:spacing w:val="-5"/>
                <w:sz w:val="24"/>
                <w:szCs w:val="22"/>
                <w:lang w:val="en-US" w:eastAsia="zh-CN" w:bidi="ar-SA"/>
              </w:rPr>
              <w:t>13224366520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4"/>
              </w:rPr>
            </w:pPr>
            <w:r>
              <w:rPr>
                <w:b/>
                <w:bCs/>
                <w:sz w:val="24"/>
              </w:rPr>
              <w:t>项目名称及简介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both"/>
              <w:textAlignment w:val="auto"/>
              <w:rPr>
                <w:rFonts w:hint="default"/>
                <w:sz w:val="24"/>
                <w:lang w:val="zh-CN"/>
              </w:rPr>
            </w:pPr>
            <w:r>
              <w:rPr>
                <w:rFonts w:hint="default"/>
                <w:sz w:val="24"/>
                <w:lang w:val="zh-CN"/>
              </w:rPr>
              <w:t>成来电气是一家智能电网设备研发商，致力于变压器设备的研发，提供电力变压器系列、组合式风力发电系列、光伏发电升压设备系列、高、低压成套设备系列、矿用隔爆型电器系列、冶炼用电炉变压器系列等产品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both"/>
              <w:textAlignment w:val="auto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吉林省正光安全科技有限公司遵守国家有关法律、法规，在</w:t>
            </w:r>
            <w:r>
              <w:rPr>
                <w:rFonts w:hint="eastAsia"/>
                <w:sz w:val="24"/>
                <w:lang w:eastAsia="zh-CN"/>
              </w:rPr>
              <w:t>成来电气科技有限公司</w:t>
            </w:r>
            <w:r>
              <w:rPr>
                <w:rFonts w:hint="default"/>
                <w:sz w:val="24"/>
              </w:rPr>
              <w:t>工作场所职业病危害因素检测报告编制过程中坚持客观、真实、公正的原则，并对所出具的《</w:t>
            </w:r>
            <w:r>
              <w:rPr>
                <w:rFonts w:hint="eastAsia"/>
                <w:sz w:val="24"/>
                <w:lang w:eastAsia="zh-CN"/>
              </w:rPr>
              <w:t>成来电气科技有限公司</w:t>
            </w:r>
            <w:r>
              <w:rPr>
                <w:rFonts w:hint="default"/>
                <w:sz w:val="24"/>
              </w:rPr>
              <w:t>工作场所职业病危害因素检测报告》承担法律责任。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both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现场调查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现场调查时间</w:t>
            </w:r>
          </w:p>
        </w:tc>
        <w:tc>
          <w:tcPr>
            <w:tcW w:w="3005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default" w:ascii="Calibri" w:eastAsia="宋体"/>
                <w:sz w:val="24"/>
                <w:lang w:val="en-US" w:eastAsia="zh-CN"/>
              </w:rPr>
            </w:pPr>
            <w:r>
              <w:rPr>
                <w:rFonts w:hint="eastAsia" w:ascii="Calibri"/>
                <w:sz w:val="24"/>
                <w:lang w:val="en-US" w:eastAsia="zh-CN"/>
              </w:rPr>
              <w:t>2023.7.17</w:t>
            </w:r>
          </w:p>
        </w:tc>
        <w:tc>
          <w:tcPr>
            <w:tcW w:w="2025" w:type="dxa"/>
            <w:gridSpan w:val="2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建设单位陪同人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rFonts w:hint="eastAsia" w:cs="宋体"/>
                <w:b/>
                <w:bCs/>
                <w:spacing w:val="-5"/>
                <w:sz w:val="24"/>
                <w:szCs w:val="22"/>
                <w:lang w:val="en-US" w:eastAsia="zh-CN" w:bidi="ar-SA"/>
              </w:rPr>
              <w:t>李嘉欣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ascii="Calibri"/>
                <w:sz w:val="24"/>
              </w:rPr>
            </w:pPr>
            <w:r>
              <w:rPr>
                <w:b/>
                <w:bCs/>
                <w:sz w:val="24"/>
              </w:rPr>
              <w:t>采样、检测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56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4"/>
              </w:rPr>
            </w:pPr>
            <w:r>
              <w:rPr>
                <w:b/>
                <w:bCs/>
                <w:sz w:val="24"/>
              </w:rPr>
              <w:t>采样、检测时间</w:t>
            </w:r>
          </w:p>
        </w:tc>
        <w:tc>
          <w:tcPr>
            <w:tcW w:w="3005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default" w:ascii="Calibri"/>
                <w:sz w:val="24"/>
                <w:lang w:val="en-US"/>
              </w:rPr>
            </w:pPr>
            <w:r>
              <w:rPr>
                <w:rFonts w:hint="eastAsia" w:ascii="Calibri"/>
                <w:sz w:val="24"/>
                <w:lang w:val="en-US" w:eastAsia="zh-CN"/>
              </w:rPr>
              <w:t>2023.7.17</w:t>
            </w:r>
          </w:p>
        </w:tc>
        <w:tc>
          <w:tcPr>
            <w:tcW w:w="2025" w:type="dxa"/>
            <w:gridSpan w:val="2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建设单位陪同人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ascii="Calibri"/>
                <w:sz w:val="24"/>
              </w:rPr>
            </w:pPr>
            <w:r>
              <w:rPr>
                <w:rFonts w:hint="eastAsia" w:cs="宋体"/>
                <w:b/>
                <w:bCs/>
                <w:spacing w:val="-5"/>
                <w:sz w:val="24"/>
                <w:szCs w:val="22"/>
                <w:lang w:val="en-US" w:eastAsia="zh-CN" w:bidi="ar-SA"/>
              </w:rPr>
              <w:t>李嘉欣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建设项目存在的主要职业病危害因素及检测结果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主要存在的职业病危害因素：</w:t>
            </w:r>
            <w:bookmarkStart w:id="0" w:name="_Hlk534380583"/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粉尘：电焊烟尘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CN"/>
              </w:rPr>
              <w:t>、玻璃钢粉尘、木粉尘、其他粉尘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化学因素：苯、甲苯、二甲苯、乙酸乙酯、乙酸丁酯、苯乙烯、一氧化碳、二氧化氮、臭氧、锰及其无机化合物；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物理因素：噪声、工频电场、紫外辐射。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检测结果：</w:t>
            </w:r>
          </w:p>
          <w:bookmarkEnd w:id="0"/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/>
                <w:sz w:val="24"/>
                <w:lang w:eastAsia="zh-CN"/>
              </w:rPr>
            </w:pPr>
            <w:r>
              <w:rPr>
                <w:rFonts w:hint="default"/>
                <w:sz w:val="24"/>
                <w:lang w:eastAsia="zh-CN"/>
              </w:rPr>
              <w:t>化学因素：粉尘：本次检测结果显示用人单位各岗位接触粉尘浓度均符合《工作场所有害因素职业接触限值 第1部分：化学有害因素》（GBZ2.1-20</w:t>
            </w:r>
            <w:r>
              <w:rPr>
                <w:rFonts w:hint="default"/>
                <w:sz w:val="24"/>
                <w:lang w:val="en-US" w:eastAsia="zh-CN"/>
              </w:rPr>
              <w:t>19</w:t>
            </w:r>
            <w:r>
              <w:rPr>
                <w:rFonts w:hint="default"/>
                <w:sz w:val="24"/>
                <w:lang w:eastAsia="zh-CN"/>
              </w:rPr>
              <w:t>）的规定。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/>
                <w:sz w:val="24"/>
                <w:lang w:eastAsia="zh-CN"/>
              </w:rPr>
            </w:pPr>
            <w:r>
              <w:rPr>
                <w:rFonts w:hint="default"/>
                <w:sz w:val="24"/>
                <w:lang w:eastAsia="zh-CN"/>
              </w:rPr>
              <w:t>毒物：用人单位各岗位劳动者接触毒物的浓度均符合《工作场所有害因素职业接触限值 第1部分：化学有害因素》（GBZ2.1-20</w:t>
            </w:r>
            <w:r>
              <w:rPr>
                <w:rFonts w:hint="default"/>
                <w:sz w:val="24"/>
                <w:lang w:val="en-US" w:eastAsia="zh-CN"/>
              </w:rPr>
              <w:t>19</w:t>
            </w:r>
            <w:r>
              <w:rPr>
                <w:rFonts w:hint="default"/>
                <w:sz w:val="24"/>
                <w:lang w:eastAsia="zh-CN"/>
              </w:rPr>
              <w:t>）的规定。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/>
                <w:sz w:val="24"/>
                <w:lang w:eastAsia="zh-CN"/>
              </w:rPr>
            </w:pPr>
            <w:r>
              <w:rPr>
                <w:rFonts w:hint="default"/>
                <w:sz w:val="24"/>
                <w:lang w:eastAsia="zh-CN"/>
              </w:rPr>
              <w:t>物理因素：噪声：本次检测结果显示用人单位</w:t>
            </w:r>
            <w:r>
              <w:rPr>
                <w:rFonts w:hint="default"/>
                <w:sz w:val="24"/>
                <w:lang w:val="en-US" w:eastAsia="zh-CN"/>
              </w:rPr>
              <w:t>各</w:t>
            </w:r>
            <w:r>
              <w:rPr>
                <w:rFonts w:hint="default"/>
                <w:sz w:val="24"/>
                <w:lang w:eastAsia="zh-CN"/>
              </w:rPr>
              <w:t>岗位劳动者接触噪声的8h等效声级值均符合《工作场所有害因素职业接触限值第2部分：物理因素》（GBZ2.2-2007）的要求。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/>
                <w:sz w:val="24"/>
                <w:lang w:eastAsia="zh-CN"/>
              </w:rPr>
            </w:pPr>
            <w:r>
              <w:rPr>
                <w:rFonts w:hint="default"/>
                <w:sz w:val="24"/>
                <w:lang w:eastAsia="zh-CN"/>
              </w:rPr>
              <w:t>紫外辐射：本次检测结果显示用人单位电焊工接触的紫外辐射强度符合《工作场所有害因素职业接触限值 第2部分：物理因素》职业接触限值的要求。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sz w:val="24"/>
              </w:rPr>
            </w:pPr>
            <w:r>
              <w:rPr>
                <w:rFonts w:hint="default"/>
                <w:sz w:val="24"/>
                <w:lang w:eastAsia="zh-CN"/>
              </w:rPr>
              <w:t>工频电场：本次检测结果显示用人单位电工接触的工频电场强度均符合《工作场所有害因素职业接触限值  第2部分：物理因素》（GBZ2.2-2007）规定的的接触限值。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评价结论与建议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462" w:firstLineChars="20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评价结论：本项目属于职业病危害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CN"/>
              </w:rPr>
              <w:t>一般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的建设项目。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建</w:t>
            </w:r>
            <w:r>
              <w:rPr>
                <w:rFonts w:hint="default"/>
                <w:b/>
                <w:bCs/>
                <w:spacing w:val="-5"/>
                <w:sz w:val="24"/>
                <w:lang w:eastAsia="zh-Hans"/>
              </w:rPr>
              <w:t xml:space="preserve">    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议：根据《工业企业设计卫生标准》关于防毒、防噪的相关规定，该公司应从以下几个方面采取措施，进行毒物及噪声的治理，并长期坚持，以保护作业人员的身体健康。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1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CN"/>
              </w:rPr>
              <w:t>.</w:t>
            </w: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用人单位应按《个人防护装备配备规范》的规定为作业人员配备个人防护用品，同时在购买时索要检定合格证明、生产许可证以及发票，建立个人防护用品的购买、存放、报废等制度。喷涂和木工岗位在作业时，应严格佩戴符合国家标准的防尘口罩，接触有毒有害气体岗位应严格佩戴符合国家标准的防毒面具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2.</w:t>
            </w:r>
            <w:bookmarkStart w:id="1" w:name="_Toc432934772"/>
            <w:bookmarkStart w:id="2" w:name="_Toc432936131"/>
            <w:bookmarkStart w:id="3" w:name="_Toc432930335"/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根据实际工况，增强下料区的排风系统的排风强度，以适应通风要求；</w:t>
            </w:r>
            <w:bookmarkEnd w:id="1"/>
            <w:bookmarkEnd w:id="2"/>
            <w:bookmarkEnd w:id="3"/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</w:pPr>
            <w:bookmarkStart w:id="4" w:name="_Toc432930338"/>
            <w:bookmarkStart w:id="5" w:name="_Toc432934775"/>
            <w:bookmarkStart w:id="6" w:name="_Toc432936134"/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3.定期检修排风系统，确保排风系统能正常有效工作；</w:t>
            </w:r>
            <w:bookmarkEnd w:id="4"/>
            <w:bookmarkEnd w:id="5"/>
            <w:bookmarkEnd w:id="6"/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0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pacing w:val="-5"/>
                <w:sz w:val="24"/>
              </w:rPr>
            </w:pPr>
            <w:r>
              <w:rPr>
                <w:rFonts w:hint="eastAsia"/>
                <w:b/>
                <w:bCs/>
                <w:spacing w:val="-5"/>
                <w:sz w:val="24"/>
                <w:lang w:val="en-US" w:eastAsia="zh-Hans"/>
              </w:rPr>
              <w:t>4.用人单位应按照《工作场所职业卫生管理规定》（中华人民共和国国家卫生健康委员会令第5号的规定），建立并完善下列职业卫生管理制度和操作规程：《职业病危害防治责任制度》；《职业病危害警示与告知制度》；《职业病危害项目申报制度》；《职业病防治宣传教育培训制度》；《职业病防护设施维护检修制度》；《职业病防护用品管理制度》；《职业病危害监测及评价管理制度》；《建设项目职业卫生“三同时”管理制度》；《劳动者职业健康监护及其档案管理制度》；《职业病危害事故处置与报告制度》；《职业病危害应急救援与管理制度》；《岗位职业卫生操作规程》；《法律、法规、规章规定的其他职业病防治制度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sz w:val="24"/>
              </w:rPr>
            </w:pPr>
            <w:r>
              <w:rPr>
                <w:b/>
                <w:bCs/>
                <w:sz w:val="24"/>
              </w:rPr>
              <w:t>技术审查专家组评审意见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225" w:type="dxa"/>
            <w:gridSpan w:val="5"/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/>
              <w:ind w:left="0" w:leftChars="0" w:right="0" w:rightChars="0"/>
              <w:jc w:val="center"/>
              <w:textAlignment w:val="auto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—</w:t>
            </w:r>
          </w:p>
        </w:tc>
      </w:tr>
    </w:tbl>
    <w:p/>
    <w:p>
      <w:pPr>
        <w:pStyle w:val="7"/>
      </w:pPr>
    </w:p>
    <w:p/>
    <w:p>
      <w:pPr>
        <w:pStyle w:val="2"/>
      </w:pPr>
      <w:r>
        <w:rPr>
          <w:rFonts w:hint="eastAsia"/>
          <w:lang w:val="en-US" w:eastAsia="zh-CN"/>
        </w:rPr>
        <w:t>现场照片</w:t>
      </w:r>
    </w:p>
    <w:p>
      <w:pPr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5754370" cy="4505325"/>
            <wp:effectExtent l="0" t="0" r="6350" b="5715"/>
            <wp:docPr id="6" name="图片 6" descr="7ec1ef659e3b3322eb85b099401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c1ef659e3b3322eb85b099401c5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749925" cy="3637280"/>
            <wp:effectExtent l="0" t="0" r="10795" b="5080"/>
            <wp:docPr id="7" name="图片 7" descr="360aee751f54f299b69e8ee21296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aee751f54f299b69e8ee212966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48"/>
          <w:szCs w:val="48"/>
          <w:lang w:eastAsia="zh-CN"/>
        </w:rPr>
        <w:drawing>
          <wp:inline distT="0" distB="0" distL="114300" distR="114300">
            <wp:extent cx="5558790" cy="7738110"/>
            <wp:effectExtent l="0" t="0" r="3810" b="3810"/>
            <wp:docPr id="8" name="图片 8" descr="76a6c5441c406a39734659a59117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a6c5441c406a39734659a59117e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headerReference r:id="rId5" w:type="default"/>
      <w:type w:val="continuous"/>
      <w:pgSz w:w="11910" w:h="16840"/>
      <w:pgMar w:top="1440" w:right="1440" w:bottom="1440" w:left="14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ZXiaoBiaoSong-B05S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0" w:type="auto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85"/>
      <w:gridCol w:w="3543"/>
      <w:gridCol w:w="2614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54" w:hRule="atLeast"/>
      </w:trPr>
      <w:tc>
        <w:tcPr>
          <w:tcW w:w="3085" w:type="dxa"/>
          <w:noWrap w:val="0"/>
          <w:vAlign w:val="center"/>
        </w:tcPr>
        <w:p>
          <w:pPr>
            <w:adjustRightInd w:val="0"/>
            <w:snapToGrid w:val="0"/>
            <w:jc w:val="left"/>
            <w:rPr>
              <w:rFonts w:hint="eastAsia" w:ascii="宋体" w:hAnsi="宋体" w:eastAsia="宋体"/>
              <w:szCs w:val="21"/>
              <w:lang w:val="en-US" w:eastAsia="zh-CN"/>
            </w:rPr>
          </w:pPr>
          <w:r>
            <w:rPr>
              <w:sz w:val="18"/>
            </w:rPr>
            <w:t>文件编号：JLZG/JL-ZK-050</w:t>
          </w:r>
        </w:p>
      </w:tc>
      <w:tc>
        <w:tcPr>
          <w:tcW w:w="3543" w:type="dxa"/>
          <w:noWrap w:val="0"/>
          <w:vAlign w:val="center"/>
        </w:tcPr>
        <w:p>
          <w:pPr>
            <w:adjustRightInd w:val="0"/>
            <w:snapToGrid w:val="0"/>
            <w:jc w:val="center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职业卫生</w:t>
          </w:r>
          <w:r>
            <w:rPr>
              <w:rFonts w:hint="eastAsia"/>
              <w:szCs w:val="21"/>
              <w:lang w:val="en-US" w:eastAsia="zh-Hans"/>
            </w:rPr>
            <w:t>检测评价</w:t>
          </w:r>
          <w:r>
            <w:rPr>
              <w:rFonts w:hint="eastAsia" w:ascii="宋体" w:hAnsi="宋体"/>
              <w:szCs w:val="21"/>
            </w:rPr>
            <w:t>报告网上公示</w:t>
          </w:r>
        </w:p>
      </w:tc>
      <w:tc>
        <w:tcPr>
          <w:tcW w:w="2614" w:type="dxa"/>
          <w:noWrap w:val="0"/>
          <w:vAlign w:val="center"/>
        </w:tcPr>
        <w:p>
          <w:pPr>
            <w:adjustRightInd w:val="0"/>
            <w:snapToGrid w:val="0"/>
            <w:jc w:val="center"/>
            <w:rPr>
              <w:rFonts w:ascii="宋体" w:hAnsi="宋体"/>
              <w:szCs w:val="21"/>
            </w:rPr>
          </w:pPr>
          <w:r>
            <w:rPr>
              <w:sz w:val="18"/>
            </w:rPr>
            <w:t>吉林省正光安全科技有限公司</w:t>
          </w:r>
        </w:p>
      </w:tc>
    </w:tr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54" w:hRule="atLeast"/>
      </w:trPr>
      <w:tc>
        <w:tcPr>
          <w:tcW w:w="9242" w:type="dxa"/>
          <w:gridSpan w:val="3"/>
          <w:noWrap w:val="0"/>
          <w:vAlign w:val="center"/>
        </w:tcPr>
        <w:p>
          <w:pPr>
            <w:adjustRightInd w:val="0"/>
            <w:snapToGrid w:val="0"/>
            <w:rPr>
              <w:rFonts w:ascii="宋体" w:hAnsi="宋体"/>
              <w:sz w:val="18"/>
              <w:szCs w:val="18"/>
            </w:rPr>
          </w:pPr>
          <w:r>
            <w:rPr>
              <w:rFonts w:hint="eastAsia" w:ascii="宋体" w:hAnsi="宋体"/>
              <w:sz w:val="18"/>
              <w:szCs w:val="18"/>
            </w:rPr>
            <w:t>项目编号：吉正光职</w:t>
          </w:r>
          <w:r>
            <w:rPr>
              <w:rFonts w:hint="eastAsia"/>
              <w:sz w:val="18"/>
              <w:szCs w:val="18"/>
              <w:lang w:val="en-US" w:eastAsia="zh-CN"/>
            </w:rPr>
            <w:t>检</w:t>
          </w:r>
          <w:r>
            <w:rPr>
              <w:rFonts w:hint="eastAsia" w:ascii="宋体" w:hAnsi="宋体"/>
              <w:sz w:val="18"/>
              <w:szCs w:val="18"/>
            </w:rPr>
            <w:t>评（</w:t>
          </w:r>
          <w:r>
            <w:rPr>
              <w:rFonts w:hint="eastAsia"/>
              <w:sz w:val="18"/>
              <w:szCs w:val="18"/>
              <w:lang w:val="en-US" w:eastAsia="zh-CN"/>
            </w:rPr>
            <w:t>2022</w:t>
          </w:r>
          <w:r>
            <w:rPr>
              <w:rFonts w:hint="eastAsia" w:ascii="宋体" w:hAnsi="宋体"/>
              <w:sz w:val="18"/>
              <w:szCs w:val="18"/>
            </w:rPr>
            <w:t xml:space="preserve">）第 </w:t>
          </w:r>
          <w:r>
            <w:rPr>
              <w:rFonts w:hint="eastAsia"/>
              <w:sz w:val="18"/>
              <w:szCs w:val="18"/>
              <w:lang w:val="en-US" w:eastAsia="zh-CN"/>
            </w:rPr>
            <w:t>093</w:t>
          </w:r>
          <w:r>
            <w:rPr>
              <w:rFonts w:hint="eastAsia" w:ascii="宋体" w:hAnsi="宋体"/>
              <w:sz w:val="18"/>
              <w:szCs w:val="18"/>
            </w:rPr>
            <w:t xml:space="preserve"> 号</w:t>
          </w:r>
          <w:r>
            <w:rPr>
              <w:rFonts w:hint="eastAsia" w:ascii="宋体" w:hAnsi="宋体"/>
              <w:sz w:val="18"/>
              <w:szCs w:val="18"/>
            </w:rPr>
            <w:tab/>
          </w:r>
          <w:r>
            <w:rPr>
              <w:rFonts w:hint="eastAsia" w:ascii="宋体" w:hAnsi="宋体"/>
              <w:sz w:val="18"/>
              <w:szCs w:val="18"/>
            </w:rPr>
            <w:t xml:space="preserve">                                   </w:t>
          </w:r>
          <w:r>
            <w:rPr>
              <w:rFonts w:hint="eastAsia"/>
              <w:sz w:val="18"/>
              <w:szCs w:val="18"/>
              <w:lang w:val="en-US" w:eastAsia="zh-CN"/>
            </w:rPr>
            <w:t xml:space="preserve">      </w:t>
          </w:r>
          <w:r>
            <w:rPr>
              <w:rFonts w:hint="eastAsia" w:ascii="宋体" w:hAnsi="宋体"/>
              <w:sz w:val="18"/>
              <w:szCs w:val="18"/>
            </w:rPr>
            <w:t>第    页共    页</w:t>
          </w:r>
        </w:p>
      </w:tc>
    </w:tr>
  </w:tbl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hyphenationZone w:val="36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jYWJmOTU0Y2Q1NDBhYmMzMDhkOGU0NThkZDdjZTAifQ=="/>
  </w:docVars>
  <w:rsids>
    <w:rsidRoot w:val="00000000"/>
    <w:rsid w:val="04367526"/>
    <w:rsid w:val="0474302D"/>
    <w:rsid w:val="05DF007B"/>
    <w:rsid w:val="0CA86033"/>
    <w:rsid w:val="3A3A6B37"/>
    <w:rsid w:val="3DEB25A4"/>
    <w:rsid w:val="3FBFE734"/>
    <w:rsid w:val="3FDE4F11"/>
    <w:rsid w:val="4DDE00FE"/>
    <w:rsid w:val="52DB6BD8"/>
    <w:rsid w:val="655619D4"/>
    <w:rsid w:val="67DB07F2"/>
    <w:rsid w:val="6D07106B"/>
    <w:rsid w:val="7B087CB8"/>
    <w:rsid w:val="7B150754"/>
    <w:rsid w:val="7FBF320B"/>
    <w:rsid w:val="F7FFEDE5"/>
    <w:rsid w:val="FEDF95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qFormat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FZXiaoBiaoSong-B05S" w:hAnsi="FZXiaoBiaoSong-B05S" w:eastAsia="FZXiaoBiaoSong-B05S" w:cs="FZXiaoBiaoSong-B05S"/>
      <w:sz w:val="36"/>
      <w:szCs w:val="36"/>
    </w:rPr>
  </w:style>
  <w:style w:type="paragraph" w:styleId="3">
    <w:name w:val="toc 1"/>
    <w:basedOn w:val="1"/>
    <w:next w:val="1"/>
    <w:unhideWhenUsed/>
    <w:qFormat/>
    <w:uiPriority w:val="39"/>
    <w:pPr>
      <w:spacing w:line="460" w:lineRule="exact"/>
    </w:pPr>
    <w:rPr>
      <w:rFonts w:eastAsia="仿宋_GB2312"/>
      <w:sz w:val="28"/>
    </w:rPr>
  </w:style>
  <w:style w:type="paragraph" w:styleId="4">
    <w:name w:val="Body Text Indent 2"/>
    <w:basedOn w:val="1"/>
    <w:next w:val="1"/>
    <w:qFormat/>
    <w:uiPriority w:val="0"/>
    <w:pPr>
      <w:ind w:firstLine="794"/>
    </w:pPr>
    <w:rPr>
      <w:sz w:val="32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7">
    <w:name w:val="Body Text First Indent"/>
    <w:basedOn w:val="1"/>
    <w:next w:val="1"/>
    <w:qFormat/>
    <w:uiPriority w:val="0"/>
    <w:pPr>
      <w:adjustRightInd w:val="0"/>
      <w:snapToGrid w:val="0"/>
      <w:spacing w:line="300" w:lineRule="auto"/>
      <w:ind w:firstLine="200" w:firstLineChars="200"/>
    </w:pPr>
    <w:rPr>
      <w:bCs/>
      <w:szCs w:val="32"/>
    </w:rPr>
  </w:style>
  <w:style w:type="paragraph" w:customStyle="1" w:styleId="10">
    <w:name w:val="Table Paragraph"/>
    <w:basedOn w:val="1"/>
    <w:qFormat/>
    <w:uiPriority w:val="1"/>
    <w:pPr>
      <w:spacing w:before="101"/>
      <w:ind w:left="107"/>
    </w:pPr>
    <w:rPr>
      <w:rFonts w:ascii="宋体" w:hAnsi="宋体" w:eastAsia="宋体" w:cs="宋体"/>
    </w:rPr>
  </w:style>
  <w:style w:type="paragraph" w:customStyle="1" w:styleId="11">
    <w:name w:val="正文文字"/>
    <w:basedOn w:val="1"/>
    <w:next w:val="1"/>
    <w:qFormat/>
    <w:uiPriority w:val="0"/>
    <w:pPr>
      <w:spacing w:after="120"/>
    </w:pPr>
  </w:style>
  <w:style w:type="paragraph" w:customStyle="1" w:styleId="12">
    <w:name w:val="List Paragraph"/>
    <w:basedOn w:val="1"/>
    <w:qFormat/>
    <w:uiPriority w:val="1"/>
  </w:style>
  <w:style w:type="paragraph" w:customStyle="1" w:styleId="13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/>
      <w:kern w:val="0"/>
      <w:sz w:val="28"/>
    </w:rPr>
  </w:style>
  <w:style w:type="table" w:customStyle="1" w:styleId="14">
    <w:name w:val="Table Normal"/>
    <w:unhideWhenUsed/>
    <w:qFormat/>
    <w:uiPriority w:val="2"/>
    <w:tblPr>
      <w:tblStyle w:val="8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2021-11-10T16:38:00Z</dcterms:created>
  <dc:creator>李红丽</dc:creator>
  <cp:lastModifiedBy>开始奋斗吧，青年。</cp:lastModifiedBy>
  <dcterms:modified xsi:type="dcterms:W3CDTF">2023-10-08T08:54:47Z</dcterms:modified>
  <dc:title>职业卫生评价报告网上公示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2016-09-13T00:00:00Z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2021-11-10T00:00:00Z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82332821BDFF44B28027BC3A55BB2F6C_13</vt:lpwstr>
  </property>
</Properties>
</file>