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7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bookmarkStart w:id="3" w:name="_GoBack"/>
            <w:r>
              <w:rPr>
                <w:rFonts w:hint="eastAsia"/>
                <w:sz w:val="24"/>
                <w:lang w:eastAsia="zh-CN"/>
              </w:rPr>
              <w:t>吉林省巨发模具有限公司</w:t>
            </w:r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控评 </w:t>
            </w:r>
            <w:r>
              <w:t xml:space="preserve">   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现评 </w:t>
            </w:r>
            <w: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吉林省长春市绿园区长沈路680号园区内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王金昌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电话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13504322065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lang w:val="zh-CN"/>
              </w:rPr>
            </w:pPr>
            <w:r>
              <w:rPr>
                <w:rFonts w:hint="default"/>
                <w:sz w:val="24"/>
                <w:lang w:val="zh-CN" w:eastAsia="zh-CN"/>
              </w:rPr>
              <w:t>吉林省巨发模具有限公司，成立于2010年，位于吉林省长春市，是一家以从事专用设备制造业为主的企业。企业注册资本55万人民币，实缴资本55万人民币</w:t>
            </w:r>
            <w:r>
              <w:rPr>
                <w:rFonts w:hint="default"/>
                <w:sz w:val="24"/>
                <w:lang w:val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吉林省正光安全科技有限公司遵守国家有关法律、法规，在</w:t>
            </w:r>
            <w:r>
              <w:rPr>
                <w:rFonts w:hint="eastAsia"/>
                <w:sz w:val="24"/>
                <w:lang w:eastAsia="zh-CN"/>
              </w:rPr>
              <w:t>吉林省巨发模具有限公司</w:t>
            </w:r>
            <w:r>
              <w:rPr>
                <w:rFonts w:hint="default"/>
                <w:sz w:val="24"/>
              </w:rPr>
              <w:t>工作场所职业病危害因素检测报告编制过程中坚持客观、真实、公正的原则，并对所出具的《</w:t>
            </w:r>
            <w:r>
              <w:rPr>
                <w:rFonts w:hint="eastAsia"/>
                <w:sz w:val="24"/>
                <w:lang w:eastAsia="zh-CN"/>
              </w:rPr>
              <w:t>吉林省巨发模具有限公司</w:t>
            </w:r>
            <w:r>
              <w:rPr>
                <w:rFonts w:hint="default"/>
                <w:sz w:val="24"/>
              </w:rPr>
              <w:t>工作场所职业病危害因素检测报告》承担法律责任。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 w:eastAsia="宋体"/>
                <w:sz w:val="24"/>
                <w:lang w:val="en-US" w:eastAsia="zh-CN"/>
              </w:rPr>
            </w:pPr>
            <w:r>
              <w:rPr>
                <w:rFonts w:hint="default" w:ascii="Calibri" w:eastAsia="宋体"/>
                <w:sz w:val="24"/>
                <w:lang w:val="en-US" w:eastAsia="zh-CN"/>
              </w:rPr>
              <w:t>2023年03月28日至30号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王金昌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/>
                <w:sz w:val="24"/>
                <w:lang w:val="en-US"/>
              </w:rPr>
            </w:pPr>
            <w:r>
              <w:rPr>
                <w:rFonts w:hint="default" w:ascii="Calibri" w:eastAsia="宋体"/>
                <w:sz w:val="24"/>
                <w:lang w:val="en-US" w:eastAsia="zh-CN"/>
              </w:rPr>
              <w:t>2023年03月28日至30号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王金昌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</w:t>
            </w:r>
            <w:bookmarkStart w:id="0" w:name="_Hlk534380583"/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粉尘：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电焊烟尘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化学因素：臭氧、二氧化氮、一氧化碳；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物理因素：噪声、紫外辐射。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</w:p>
          <w:bookmarkEnd w:id="0"/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/>
                <w:sz w:val="24"/>
                <w:lang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（1）化学因素：</w:t>
            </w:r>
            <w:r>
              <w:rPr>
                <w:rFonts w:hint="default"/>
                <w:sz w:val="24"/>
                <w:lang w:eastAsia="zh-CN"/>
              </w:rPr>
              <w:t>本次检测结果显示用人单位</w:t>
            </w:r>
            <w:r>
              <w:rPr>
                <w:rFonts w:hint="default"/>
                <w:sz w:val="24"/>
                <w:lang w:val="en-US" w:eastAsia="zh-CN"/>
              </w:rPr>
              <w:t>铆焊工接触的一氧化碳、二氧化氮、臭氧</w:t>
            </w:r>
            <w:r>
              <w:rPr>
                <w:rFonts w:hint="default"/>
                <w:sz w:val="24"/>
                <w:lang w:eastAsia="zh-CN"/>
              </w:rPr>
              <w:t>的浓度</w:t>
            </w:r>
            <w:r>
              <w:rPr>
                <w:rFonts w:hint="default"/>
                <w:sz w:val="24"/>
                <w:lang w:val="en-US" w:eastAsia="zh-CN"/>
              </w:rPr>
              <w:t>均</w:t>
            </w:r>
            <w:r>
              <w:rPr>
                <w:rFonts w:hint="default"/>
                <w:sz w:val="24"/>
                <w:lang w:eastAsia="zh-CN"/>
              </w:rPr>
              <w:t>符合《工作场所有害因素职业接触限值第1部分：化学有害因素》的要求。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/>
                <w:sz w:val="24"/>
                <w:lang w:eastAsia="zh-CN"/>
              </w:rPr>
            </w:pPr>
            <w:r>
              <w:rPr>
                <w:rFonts w:hint="default"/>
                <w:sz w:val="24"/>
                <w:lang w:eastAsia="zh-CN"/>
              </w:rPr>
              <w:t>（</w:t>
            </w:r>
            <w:r>
              <w:rPr>
                <w:rFonts w:hint="default"/>
                <w:sz w:val="24"/>
                <w:lang w:val="en-US" w:eastAsia="zh-CN"/>
              </w:rPr>
              <w:t>2</w:t>
            </w:r>
            <w:r>
              <w:rPr>
                <w:rFonts w:hint="default"/>
                <w:sz w:val="24"/>
                <w:lang w:eastAsia="zh-CN"/>
              </w:rPr>
              <w:t>）</w:t>
            </w:r>
            <w:r>
              <w:rPr>
                <w:rFonts w:hint="default"/>
                <w:sz w:val="24"/>
                <w:lang w:val="en-US" w:eastAsia="zh-CN"/>
              </w:rPr>
              <w:t>粉尘：</w:t>
            </w:r>
            <w:r>
              <w:rPr>
                <w:rFonts w:hint="default"/>
                <w:sz w:val="24"/>
                <w:lang w:eastAsia="zh-CN"/>
              </w:rPr>
              <w:t>本次检测结果显示用人单位</w:t>
            </w:r>
            <w:r>
              <w:rPr>
                <w:rFonts w:hint="default"/>
                <w:sz w:val="24"/>
                <w:lang w:val="en-US" w:eastAsia="zh-CN"/>
              </w:rPr>
              <w:t>铆焊工接触的电焊烟尘</w:t>
            </w:r>
            <w:r>
              <w:rPr>
                <w:rFonts w:hint="default"/>
                <w:sz w:val="24"/>
                <w:lang w:eastAsia="zh-CN"/>
              </w:rPr>
              <w:t>的浓度符合《工作场所有害因素职业接触限值第1部分：化学有害因素》的要求。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/>
                <w:sz w:val="24"/>
                <w:lang w:eastAsia="zh-CN"/>
              </w:rPr>
            </w:pPr>
            <w:r>
              <w:rPr>
                <w:rFonts w:hint="default"/>
                <w:sz w:val="24"/>
                <w:lang w:eastAsia="zh-CN"/>
              </w:rPr>
              <w:t>（</w:t>
            </w:r>
            <w:r>
              <w:rPr>
                <w:rFonts w:hint="default"/>
                <w:sz w:val="24"/>
                <w:lang w:val="en-US" w:eastAsia="zh-CN"/>
              </w:rPr>
              <w:t>3</w:t>
            </w:r>
            <w:r>
              <w:rPr>
                <w:rFonts w:hint="default"/>
                <w:sz w:val="24"/>
                <w:lang w:eastAsia="zh-CN"/>
              </w:rPr>
              <w:t>）</w:t>
            </w:r>
            <w:r>
              <w:rPr>
                <w:rFonts w:hint="default"/>
                <w:sz w:val="24"/>
                <w:lang w:val="en-US" w:eastAsia="zh-CN"/>
              </w:rPr>
              <w:t>紫外辐射：</w:t>
            </w:r>
            <w:r>
              <w:rPr>
                <w:rFonts w:hint="default"/>
                <w:sz w:val="24"/>
                <w:lang w:eastAsia="zh-CN"/>
              </w:rPr>
              <w:t>本次检测结果显示用人单位</w:t>
            </w:r>
            <w:r>
              <w:rPr>
                <w:rFonts w:hint="default"/>
                <w:sz w:val="24"/>
                <w:lang w:val="en-US" w:eastAsia="zh-CN"/>
              </w:rPr>
              <w:t>铆焊工接触的紫外辐射</w:t>
            </w:r>
            <w:r>
              <w:rPr>
                <w:rFonts w:hint="default"/>
                <w:sz w:val="24"/>
                <w:lang w:eastAsia="zh-CN"/>
              </w:rPr>
              <w:t>的强度符合《工作场所有害因素职业接触限值第2部分：物理因素》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default"/>
                <w:sz w:val="24"/>
                <w:lang w:eastAsia="zh-CN"/>
              </w:rPr>
              <w:t>（</w:t>
            </w:r>
            <w:r>
              <w:rPr>
                <w:rFonts w:hint="default"/>
                <w:sz w:val="24"/>
                <w:lang w:val="en-US" w:eastAsia="zh-CN"/>
              </w:rPr>
              <w:t>4</w:t>
            </w:r>
            <w:r>
              <w:rPr>
                <w:rFonts w:hint="default"/>
                <w:sz w:val="24"/>
                <w:lang w:eastAsia="zh-CN"/>
              </w:rPr>
              <w:t>）</w:t>
            </w:r>
            <w:r>
              <w:rPr>
                <w:rFonts w:hint="default"/>
                <w:sz w:val="24"/>
                <w:lang w:val="en-US" w:eastAsia="zh-CN"/>
              </w:rPr>
              <w:t>噪声：</w:t>
            </w:r>
            <w:r>
              <w:rPr>
                <w:rFonts w:hint="default"/>
                <w:sz w:val="24"/>
                <w:lang w:eastAsia="zh-CN"/>
              </w:rPr>
              <w:t>本次检测结果显示用人单位</w:t>
            </w:r>
            <w:r>
              <w:rPr>
                <w:rFonts w:hint="default"/>
                <w:sz w:val="24"/>
                <w:lang w:val="en-US" w:eastAsia="zh-CN"/>
              </w:rPr>
              <w:t>各个员工</w:t>
            </w:r>
            <w:r>
              <w:rPr>
                <w:rFonts w:hint="default"/>
                <w:sz w:val="24"/>
                <w:lang w:eastAsia="zh-CN"/>
              </w:rPr>
              <w:t>接触噪声的强度</w:t>
            </w:r>
            <w:r>
              <w:rPr>
                <w:rFonts w:hint="default"/>
                <w:sz w:val="24"/>
                <w:lang w:val="en-US" w:eastAsia="zh-CN"/>
              </w:rPr>
              <w:t>均</w:t>
            </w:r>
            <w:r>
              <w:rPr>
                <w:rFonts w:hint="default"/>
                <w:sz w:val="24"/>
                <w:lang w:eastAsia="zh-CN"/>
              </w:rPr>
              <w:t>符合《工作场所有害因素职业接触限值第2部分：物理因素》。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评价结论：本项目属于职业病危害严重的建设项目。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议：根据《工业企业设计卫生标准》关于防毒、防噪的相关规定，该公司应从以下几个方面采取措施，进行毒物及噪声的治理，并长期坚持，以保护作业人员的身体健康。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1.用人单位每年至少进行一次职业病危害检测。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2. 用人单位应按《个体防护装备配备规范》为作业人员配备个人防护用品，同时在购买时索要检定合格证明、生产许可证以及发票，建立个人防护用品的购买、存放、报废等制度。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3. 用人单位应按照国家卫生标准《工作场所职业病危害警示标识》的要求，在醒目位置设立相应职业病危害因素警示标识。并在作业人员经常来往的地点设置职业病危害因素告知卡，将本次检测结果告知作业人员。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技术审查专家组评审意见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—</w:t>
            </w:r>
          </w:p>
        </w:tc>
      </w:tr>
    </w:tbl>
    <w:p/>
    <w:p>
      <w:pPr>
        <w:pStyle w:val="6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现场照片</w:t>
      </w:r>
    </w:p>
    <w:p>
      <w:pPr>
        <w:rPr>
          <w:rFonts w:hint="eastAsia" w:ascii="宋体" w:hAnsi="宋体" w:eastAsia="宋体" w:cs="宋体"/>
          <w:sz w:val="22"/>
          <w:szCs w:val="2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bookmarkStart w:id="1" w:name="_Toc27753"/>
      <w:r>
        <w:rPr>
          <w:rFonts w:hint="eastAsia" w:eastAsia="仿宋_GB2312"/>
          <w:lang w:eastAsia="zh-CN"/>
        </w:rPr>
        <w:drawing>
          <wp:inline distT="0" distB="0" distL="114300" distR="114300">
            <wp:extent cx="5278120" cy="3959860"/>
            <wp:effectExtent l="0" t="0" r="10160" b="2540"/>
            <wp:docPr id="2" name="图片 4" descr="d9a905e0abecaec2395cd14846f63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d9a905e0abecaec2395cd14846f63e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2" w:name="_Toc16305"/>
      <w:r>
        <w:rPr>
          <w:rFonts w:hint="eastAsia" w:eastAsia="仿宋_GB2312"/>
          <w:lang w:eastAsia="zh-CN"/>
        </w:rPr>
        <w:drawing>
          <wp:inline distT="0" distB="0" distL="114300" distR="114300">
            <wp:extent cx="5634355" cy="7032625"/>
            <wp:effectExtent l="0" t="0" r="4445" b="8255"/>
            <wp:docPr id="1" name="图片 65" descr="541f72429b963393ff1243fb4f88a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5" descr="541f72429b963393ff1243fb4f88a2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pStyle w:val="6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5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0" w:type="auto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noWrap w:val="0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noWrap w:val="0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noWrap w:val="0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noWrap w:val="0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4902200</wp:posOffset>
                    </wp:positionH>
                    <wp:positionV relativeFrom="paragraph">
                      <wp:posOffset>-15240</wp:posOffset>
                    </wp:positionV>
                    <wp:extent cx="1828800" cy="1828800"/>
                    <wp:effectExtent l="0" t="0" r="0" b="0"/>
                    <wp:wrapNone/>
                    <wp:docPr id="3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" o:spid="_x0000_s1026" o:spt="202" type="#_x0000_t202" style="position:absolute;left:0pt;margin-left:386pt;margin-top:-1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m+xSNcA&#10;AAALAQAADwAAAAAAAAABACAAAAAiAAAAZHJzL2Rvd25yZXYueG1sUEsBAhQAFAAAAAgAh07iQBhu&#10;avLnAQAAxwMAAA4AAAAAAAAAAQAgAAAAJgEAAGRycy9lMm9Eb2MueG1sUEsFBgAAAAAGAAYAWQEA&#10;AH8FAAAAAA=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现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2023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009</w:t>
          </w:r>
          <w:r>
            <w:rPr>
              <w:rFonts w:hint="eastAsia" w:ascii="宋体" w:hAnsi="宋体"/>
              <w:sz w:val="18"/>
              <w:szCs w:val="18"/>
            </w:rPr>
            <w:t>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YWJmOTU0Y2Q1NDBhYmMzMDhkOGU0NThkZDdjZTAifQ=="/>
  </w:docVars>
  <w:rsids>
    <w:rsidRoot w:val="00000000"/>
    <w:rsid w:val="04367526"/>
    <w:rsid w:val="0474302D"/>
    <w:rsid w:val="05DF007B"/>
    <w:rsid w:val="0CA86033"/>
    <w:rsid w:val="3A3A6B37"/>
    <w:rsid w:val="3FBFE734"/>
    <w:rsid w:val="3FDE4F11"/>
    <w:rsid w:val="4B680788"/>
    <w:rsid w:val="4DDE00FE"/>
    <w:rsid w:val="52DB6BD8"/>
    <w:rsid w:val="655619D4"/>
    <w:rsid w:val="67DB07F2"/>
    <w:rsid w:val="6D07106B"/>
    <w:rsid w:val="7B087CB8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794"/>
    </w:pPr>
    <w:rPr>
      <w:sz w:val="32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Body Text First Indent"/>
    <w:basedOn w:val="1"/>
    <w:next w:val="1"/>
    <w:qFormat/>
    <w:uiPriority w:val="0"/>
    <w:pPr>
      <w:adjustRightInd w:val="0"/>
      <w:snapToGrid w:val="0"/>
      <w:spacing w:line="300" w:lineRule="auto"/>
      <w:ind w:firstLine="200" w:firstLineChars="200"/>
    </w:pPr>
    <w:rPr>
      <w:bCs/>
      <w:szCs w:val="32"/>
    </w:rPr>
  </w:style>
  <w:style w:type="paragraph" w:customStyle="1" w:styleId="9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  <w:style w:type="paragraph" w:customStyle="1" w:styleId="10">
    <w:name w:val="正文文字"/>
    <w:basedOn w:val="1"/>
    <w:next w:val="1"/>
    <w:qFormat/>
    <w:uiPriority w:val="0"/>
    <w:pPr>
      <w:spacing w:after="120"/>
    </w:p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报告正文"/>
    <w:basedOn w:val="1"/>
    <w:qFormat/>
    <w:uiPriority w:val="0"/>
    <w:pPr>
      <w:spacing w:line="460" w:lineRule="exact"/>
      <w:ind w:firstLine="560" w:firstLineChars="200"/>
    </w:pPr>
    <w:rPr>
      <w:rFonts w:eastAsia="仿宋_GB2312"/>
      <w:kern w:val="0"/>
      <w:sz w:val="28"/>
    </w:rPr>
  </w:style>
  <w:style w:type="table" w:customStyle="1" w:styleId="13">
    <w:name w:val="Table Normal"/>
    <w:unhideWhenUsed/>
    <w:qFormat/>
    <w:uiPriority w:val="2"/>
    <w:tblPr>
      <w:tblStyle w:val="7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开始奋斗吧，青年。</cp:lastModifiedBy>
  <dcterms:modified xsi:type="dcterms:W3CDTF">2023-10-09T01:56:42Z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AE6D5FD992E7440187AFF4F3715F1C62_13</vt:lpwstr>
  </property>
</Properties>
</file>