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
        <w:rPr>
          <w:sz w:val="8"/>
        </w:rPr>
      </w:pPr>
    </w:p>
    <w:tbl>
      <w:tblPr>
        <w:tblStyle w:val="8"/>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6"/>
        <w:gridCol w:w="3005"/>
        <w:gridCol w:w="1907"/>
        <w:gridCol w:w="118"/>
        <w:gridCol w:w="2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856" w:type="dxa"/>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建设单位</w:t>
            </w:r>
          </w:p>
        </w:tc>
        <w:tc>
          <w:tcPr>
            <w:tcW w:w="7369" w:type="dxa"/>
            <w:gridSpan w:val="4"/>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eastAsia="zh-CN"/>
              </w:rPr>
              <w:t>吉林省松原石油化工股份有限公司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856" w:type="dxa"/>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宋体"/>
                <w:b/>
                <w:bCs/>
                <w:sz w:val="24"/>
                <w:lang w:val="en-US" w:eastAsia="zh-Hans"/>
              </w:rPr>
            </w:pPr>
            <w:r>
              <w:rPr>
                <w:rFonts w:hint="eastAsia"/>
                <w:b/>
                <w:bCs/>
                <w:sz w:val="24"/>
                <w:lang w:val="en-US" w:eastAsia="zh-Hans"/>
              </w:rPr>
              <w:t>项目类别</w:t>
            </w:r>
          </w:p>
        </w:tc>
        <w:tc>
          <w:tcPr>
            <w:tcW w:w="7369" w:type="dxa"/>
            <w:gridSpan w:val="4"/>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rFonts w:hint="eastAsia"/>
              </w:rPr>
              <w:t xml:space="preserve">□预评 </w:t>
            </w:r>
            <w:r>
              <w:t xml:space="preserve">      </w:t>
            </w:r>
            <w:r>
              <w:rPr>
                <w:rFonts w:hint="eastAsia"/>
              </w:rPr>
              <w:sym w:font="Wingdings 2" w:char="00A3"/>
            </w:r>
            <w:r>
              <w:rPr>
                <w:rFonts w:hint="eastAsia"/>
              </w:rPr>
              <w:t xml:space="preserve">控评 </w:t>
            </w:r>
            <w:r>
              <w:t xml:space="preserve">      </w:t>
            </w:r>
            <w:r>
              <w:rPr>
                <w:rFonts w:hint="eastAsia"/>
              </w:rPr>
              <w:sym w:font="Wingdings 2" w:char="00A3"/>
            </w:r>
            <w:r>
              <w:rPr>
                <w:rFonts w:hint="eastAsia"/>
              </w:rPr>
              <w:t xml:space="preserve">现评 </w:t>
            </w:r>
            <w:r>
              <w:t xml:space="preserve">       </w:t>
            </w:r>
            <w:r>
              <w:rPr>
                <w:rFonts w:eastAsia="仿宋_GB2312"/>
                <w:sz w:val="28"/>
                <w:szCs w:val="28"/>
              </w:rPr>
              <w:sym w:font="Wingdings 2" w:char="0052"/>
            </w:r>
            <w:r>
              <w:rPr>
                <w:rFonts w:hint="eastAsia"/>
                <w:lang w:val="en-US" w:eastAsia="zh-Hans"/>
              </w:rPr>
              <w:t>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856" w:type="dxa"/>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项目地址</w:t>
            </w:r>
          </w:p>
        </w:tc>
        <w:tc>
          <w:tcPr>
            <w:tcW w:w="7369" w:type="dxa"/>
            <w:gridSpan w:val="4"/>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ascii="宋体" w:hAnsi="宋体" w:eastAsia="宋体" w:cs="宋体"/>
                <w:b/>
                <w:bCs/>
                <w:spacing w:val="-5"/>
                <w:sz w:val="24"/>
                <w:szCs w:val="22"/>
                <w:lang w:val="en-US" w:eastAsia="zh-Hans" w:bidi="ar-SA"/>
              </w:rPr>
            </w:pPr>
            <w:r>
              <w:rPr>
                <w:rFonts w:hint="default" w:ascii="Times New Roman" w:hAnsi="Times New Roman" w:eastAsia="仿宋_GB2312" w:cs="Times New Roman"/>
                <w:sz w:val="28"/>
                <w:szCs w:val="28"/>
                <w:lang w:eastAsia="zh-CN"/>
              </w:rPr>
              <w:t>吉林省松原市宁江区石化园区前炼南路北侧阿兰豁阿大街东侧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856" w:type="dxa"/>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联系人</w:t>
            </w:r>
          </w:p>
        </w:tc>
        <w:tc>
          <w:tcPr>
            <w:tcW w:w="3005" w:type="dxa"/>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ascii="宋体" w:hAnsi="宋体" w:eastAsia="宋体" w:cs="宋体"/>
                <w:b/>
                <w:bCs/>
                <w:spacing w:val="-5"/>
                <w:sz w:val="24"/>
                <w:szCs w:val="22"/>
                <w:lang w:val="en-US" w:eastAsia="zh-CN" w:bidi="ar-SA"/>
              </w:rPr>
            </w:pPr>
            <w:r>
              <w:rPr>
                <w:rFonts w:hint="default" w:ascii="Times New Roman" w:hAnsi="Times New Roman" w:eastAsia="仿宋_GB2312" w:cs="Times New Roman"/>
                <w:kern w:val="0"/>
                <w:sz w:val="28"/>
                <w:szCs w:val="28"/>
                <w:lang w:val="en-US" w:eastAsia="zh-CN"/>
              </w:rPr>
              <w:t>李嘉诚</w:t>
            </w:r>
          </w:p>
        </w:tc>
        <w:tc>
          <w:tcPr>
            <w:tcW w:w="1907" w:type="dxa"/>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ascii="宋体" w:hAnsi="宋体" w:eastAsia="宋体" w:cs="宋体"/>
                <w:b/>
                <w:bCs/>
                <w:spacing w:val="-5"/>
                <w:sz w:val="24"/>
                <w:szCs w:val="22"/>
                <w:lang w:val="en-US" w:eastAsia="zh-Hans" w:bidi="ar-SA"/>
              </w:rPr>
            </w:pPr>
            <w:r>
              <w:rPr>
                <w:rFonts w:hint="eastAsia" w:ascii="宋体" w:hAnsi="宋体" w:eastAsia="宋体" w:cs="宋体"/>
                <w:b/>
                <w:bCs/>
                <w:spacing w:val="-5"/>
                <w:sz w:val="24"/>
                <w:szCs w:val="22"/>
                <w:lang w:val="en-US" w:eastAsia="zh-Hans" w:bidi="ar-SA"/>
              </w:rPr>
              <w:t>电话</w:t>
            </w:r>
          </w:p>
        </w:tc>
        <w:tc>
          <w:tcPr>
            <w:tcW w:w="2457" w:type="dxa"/>
            <w:gridSpan w:val="2"/>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宋体" w:hAnsi="宋体" w:eastAsia="宋体" w:cs="宋体"/>
                <w:b/>
                <w:bCs/>
                <w:spacing w:val="-5"/>
                <w:sz w:val="24"/>
                <w:szCs w:val="22"/>
                <w:lang w:val="en-US" w:eastAsia="zh-Hans" w:bidi="ar-SA"/>
              </w:rPr>
            </w:pPr>
            <w:r>
              <w:rPr>
                <w:rFonts w:hint="default" w:ascii="Times New Roman" w:hAnsi="Times New Roman" w:eastAsia="仿宋_GB2312" w:cs="Times New Roman"/>
                <w:kern w:val="0"/>
                <w:sz w:val="28"/>
                <w:szCs w:val="28"/>
                <w:lang w:val="en-US" w:eastAsia="zh-CN"/>
              </w:rPr>
              <w:t>15843013412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225" w:type="dxa"/>
            <w:gridSpan w:val="5"/>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项目名称及简介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9225" w:type="dxa"/>
            <w:gridSpan w:val="5"/>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rFonts w:hint="default"/>
                <w:sz w:val="24"/>
                <w:lang w:val="zh-CN"/>
              </w:rPr>
            </w:pPr>
            <w:r>
              <w:rPr>
                <w:rFonts w:hint="default"/>
                <w:sz w:val="24"/>
                <w:lang w:val="zh-CN"/>
              </w:rPr>
              <w:t>吉林省松原石油化工股份有限公司于2009年05月11日成立。法定代表人刘士伟，公司经营范围包括：汽油、柴油、丙烯、丙烷、</w:t>
            </w:r>
            <w:r>
              <w:rPr>
                <w:rFonts w:hint="default"/>
                <w:sz w:val="24"/>
                <w:lang w:val="zh-CN"/>
              </w:rPr>
              <w:fldChar w:fldCharType="begin"/>
            </w:r>
            <w:r>
              <w:rPr>
                <w:rFonts w:hint="default"/>
                <w:sz w:val="24"/>
                <w:lang w:val="zh-CN"/>
              </w:rPr>
              <w:instrText xml:space="preserve"> HYPERLINK "https://baike.baidu.com/item/%E6%B6%B2%E5%8C%96%E7%9F%B3%E6%B2%B9%E6%B0%94/301506?fromModule=lemma_inlink" \t "https://baike.baidu.com/item/%E5%90%89%E6%9E%97%E7%9C%81%E6%9D%BE%E5%8E%9F%E7%9F%B3%E6%B2%B9%E5%8C%96%E5%B7%A5%E8%82%A1%E4%BB%BD%E6%9C%89%E9%99%90%E5%85%AC%E5%8F%B8/_blank" </w:instrText>
            </w:r>
            <w:r>
              <w:rPr>
                <w:rFonts w:hint="default"/>
                <w:sz w:val="24"/>
                <w:lang w:val="zh-CN"/>
              </w:rPr>
              <w:fldChar w:fldCharType="separate"/>
            </w:r>
            <w:r>
              <w:rPr>
                <w:rFonts w:hint="default"/>
                <w:sz w:val="24"/>
                <w:lang w:val="zh-CN"/>
              </w:rPr>
              <w:t>液化石油气</w:t>
            </w:r>
            <w:r>
              <w:rPr>
                <w:rFonts w:hint="default"/>
                <w:sz w:val="24"/>
                <w:lang w:val="zh-CN"/>
              </w:rPr>
              <w:fldChar w:fldCharType="end"/>
            </w:r>
            <w:r>
              <w:rPr>
                <w:rFonts w:hint="default"/>
                <w:sz w:val="24"/>
                <w:lang w:val="zh-CN"/>
              </w:rPr>
              <w:t>、正丁烷、异辛烷、硫酸生产、销售，其他生活服务等。</w:t>
            </w:r>
          </w:p>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rFonts w:hint="default"/>
                <w:sz w:val="24"/>
              </w:rPr>
            </w:pPr>
            <w:r>
              <w:rPr>
                <w:rFonts w:hint="default"/>
                <w:sz w:val="24"/>
              </w:rPr>
              <w:t>吉林省正光安全科技有限公司遵守国家有关法律、法规，在</w:t>
            </w:r>
            <w:r>
              <w:rPr>
                <w:rFonts w:hint="eastAsia"/>
                <w:sz w:val="24"/>
                <w:lang w:eastAsia="zh-CN"/>
              </w:rPr>
              <w:t>吉林省松原石油化工股份有限公司</w:t>
            </w:r>
            <w:r>
              <w:rPr>
                <w:rFonts w:hint="default"/>
                <w:sz w:val="24"/>
              </w:rPr>
              <w:t>工作场所职业病危害因素检测报告编制过程中坚持客观、真实、公正的原则，并对所出具的《</w:t>
            </w:r>
            <w:r>
              <w:rPr>
                <w:rFonts w:hint="eastAsia"/>
                <w:sz w:val="24"/>
                <w:lang w:eastAsia="zh-CN"/>
              </w:rPr>
              <w:t>吉林省松原石油化工股份有限公司</w:t>
            </w:r>
            <w:r>
              <w:rPr>
                <w:rFonts w:hint="default"/>
                <w:sz w:val="24"/>
              </w:rPr>
              <w:t>工作场所职业病危害因素检测报告》承担法律责任。</w:t>
            </w:r>
            <w:bookmarkStart w:id="1" w:name="_GoBack"/>
            <w:bookmarkEnd w:id="1"/>
          </w:p>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225" w:type="dxa"/>
            <w:gridSpan w:val="5"/>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856" w:type="dxa"/>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现场调查时间</w:t>
            </w:r>
          </w:p>
        </w:tc>
        <w:tc>
          <w:tcPr>
            <w:tcW w:w="3005" w:type="dxa"/>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Calibri" w:eastAsia="宋体"/>
                <w:sz w:val="24"/>
                <w:lang w:val="en-US" w:eastAsia="zh-CN"/>
              </w:rPr>
            </w:pPr>
            <w:r>
              <w:rPr>
                <w:rFonts w:hint="eastAsia" w:ascii="Calibri"/>
                <w:sz w:val="24"/>
                <w:lang w:val="en-US" w:eastAsia="zh-CN"/>
              </w:rPr>
              <w:t>2023.5.8-10</w:t>
            </w:r>
          </w:p>
        </w:tc>
        <w:tc>
          <w:tcPr>
            <w:tcW w:w="2025" w:type="dxa"/>
            <w:gridSpan w:val="2"/>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default" w:ascii="Times New Roman" w:hAnsi="Times New Roman" w:eastAsia="仿宋_GB2312" w:cs="Times New Roman"/>
                <w:kern w:val="0"/>
                <w:sz w:val="28"/>
                <w:szCs w:val="28"/>
                <w:lang w:val="en-US" w:eastAsia="zh-CN"/>
              </w:rPr>
              <w:t>李嘉诚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225" w:type="dxa"/>
            <w:gridSpan w:val="5"/>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b/>
                <w:bCs/>
                <w:sz w:val="24"/>
              </w:rPr>
              <w:t>采样、检测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856" w:type="dxa"/>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采样、检测时间</w:t>
            </w:r>
          </w:p>
        </w:tc>
        <w:tc>
          <w:tcPr>
            <w:tcW w:w="3005" w:type="dxa"/>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Calibri"/>
                <w:sz w:val="24"/>
                <w:lang w:val="en-US"/>
              </w:rPr>
            </w:pPr>
            <w:r>
              <w:rPr>
                <w:rFonts w:hint="eastAsia" w:ascii="Calibri"/>
                <w:sz w:val="24"/>
                <w:lang w:val="en-US" w:eastAsia="zh-CN"/>
              </w:rPr>
              <w:t>2023.5.8-10</w:t>
            </w:r>
          </w:p>
        </w:tc>
        <w:tc>
          <w:tcPr>
            <w:tcW w:w="2025" w:type="dxa"/>
            <w:gridSpan w:val="2"/>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rFonts w:hint="default" w:ascii="Times New Roman" w:hAnsi="Times New Roman" w:eastAsia="仿宋_GB2312" w:cs="Times New Roman"/>
                <w:kern w:val="0"/>
                <w:sz w:val="28"/>
                <w:szCs w:val="28"/>
                <w:lang w:val="en-US" w:eastAsia="zh-CN"/>
              </w:rPr>
              <w:t>李嘉诚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225" w:type="dxa"/>
            <w:gridSpan w:val="5"/>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建设项目存在的主要职业病危害因素及检测结果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9225" w:type="dxa"/>
            <w:gridSpan w:val="5"/>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left"/>
              <w:textAlignment w:val="auto"/>
              <w:outlineLvl w:val="9"/>
              <w:rPr>
                <w:rFonts w:hint="eastAsia"/>
                <w:b/>
                <w:bCs/>
                <w:spacing w:val="-5"/>
                <w:sz w:val="24"/>
                <w:lang w:val="en-US" w:eastAsia="zh-Hans"/>
              </w:rPr>
            </w:pPr>
            <w:r>
              <w:rPr>
                <w:rFonts w:hint="eastAsia"/>
                <w:b/>
                <w:bCs/>
                <w:spacing w:val="-5"/>
                <w:sz w:val="24"/>
                <w:lang w:val="en-US" w:eastAsia="zh-Hans"/>
              </w:rPr>
              <w:t>主要存在的职业病危害因素：</w:t>
            </w:r>
            <w:bookmarkStart w:id="0" w:name="_Hlk534380583"/>
            <w:r>
              <w:rPr>
                <w:rFonts w:hint="eastAsia"/>
                <w:b/>
                <w:bCs/>
                <w:spacing w:val="-5"/>
                <w:sz w:val="24"/>
                <w:lang w:val="en-US" w:eastAsia="zh-Hans"/>
              </w:rPr>
              <w:t>粉尘：</w:t>
            </w:r>
            <w:r>
              <w:rPr>
                <w:rFonts w:hint="eastAsia"/>
                <w:b/>
                <w:bCs/>
                <w:spacing w:val="-5"/>
                <w:sz w:val="24"/>
                <w:lang w:val="en-US" w:eastAsia="zh-CN"/>
              </w:rPr>
              <w:t>矽尘</w:t>
            </w:r>
            <w:r>
              <w:rPr>
                <w:rFonts w:hint="eastAsia"/>
                <w:b/>
                <w:bCs/>
                <w:spacing w:val="-5"/>
                <w:sz w:val="24"/>
                <w:lang w:val="en-US" w:eastAsia="zh-Hans"/>
              </w:rPr>
              <w:t>；</w:t>
            </w:r>
          </w:p>
          <w:p>
            <w:pPr>
              <w:bidi w:val="0"/>
              <w:jc w:val="center"/>
              <w:rPr>
                <w:rFonts w:hint="default" w:ascii="Times New Roman" w:hAnsi="Times New Roman" w:eastAsia="仿宋_GB2312" w:cs="Times New Roman"/>
                <w:szCs w:val="20"/>
                <w:lang w:val="en-US" w:eastAsia="zh-CN"/>
              </w:rPr>
            </w:pPr>
            <w:r>
              <w:rPr>
                <w:rFonts w:hint="eastAsia"/>
                <w:b/>
                <w:bCs/>
                <w:spacing w:val="-5"/>
                <w:sz w:val="24"/>
                <w:lang w:val="en-US" w:eastAsia="zh-Hans"/>
              </w:rPr>
              <w:t>化学因素：</w:t>
            </w:r>
            <w:r>
              <w:rPr>
                <w:rFonts w:hint="default"/>
                <w:b/>
                <w:bCs/>
                <w:spacing w:val="-5"/>
                <w:sz w:val="24"/>
                <w:lang w:val="en-US" w:eastAsia="zh-CN"/>
              </w:rPr>
              <w:t>液化石油气、辛烷、戊烷、硫酸及三氧化硫、氢氧化钠</w:t>
            </w:r>
            <w:r>
              <w:rPr>
                <w:rFonts w:hint="default" w:ascii="Times New Roman" w:hAnsi="Times New Roman" w:eastAsia="仿宋_GB2312" w:cs="Times New Roman"/>
                <w:szCs w:val="20"/>
                <w:lang w:val="en-US" w:eastAsia="zh-CN"/>
              </w:rPr>
              <w:t>、</w:t>
            </w:r>
            <w:r>
              <w:rPr>
                <w:rFonts w:hint="default"/>
                <w:b/>
                <w:bCs/>
                <w:spacing w:val="-5"/>
                <w:sz w:val="24"/>
                <w:lang w:val="en-US" w:eastAsia="zh-CN"/>
              </w:rPr>
              <w:t>硫酸及三氧化硫、二氧化硫</w:t>
            </w:r>
            <w:r>
              <w:rPr>
                <w:rFonts w:hint="default" w:ascii="Times New Roman" w:hAnsi="Times New Roman" w:eastAsia="仿宋_GB2312" w:cs="Times New Roman"/>
                <w:szCs w:val="20"/>
                <w:lang w:val="en-US" w:eastAsia="zh-CN"/>
              </w:rPr>
              <w:t>、</w:t>
            </w:r>
            <w:r>
              <w:rPr>
                <w:rFonts w:hint="default"/>
                <w:b/>
                <w:bCs/>
                <w:spacing w:val="-5"/>
                <w:sz w:val="24"/>
                <w:lang w:val="en-US" w:eastAsia="zh-CN"/>
              </w:rPr>
              <w:t>硫化氢、氢氧化钠、氨、氮氧化合物、一氧化碳、二氧化碳、</w:t>
            </w:r>
            <w:r>
              <w:rPr>
                <w:rFonts w:hint="eastAsia"/>
                <w:b/>
                <w:bCs/>
                <w:spacing w:val="-5"/>
                <w:sz w:val="24"/>
                <w:lang w:val="en-US" w:eastAsia="zh-CN"/>
              </w:rPr>
              <w:t>溶剂汽油、甲醇、四氯乙烯</w:t>
            </w:r>
            <w:r>
              <w:rPr>
                <w:rFonts w:hint="eastAsia"/>
                <w:b/>
                <w:bCs/>
                <w:spacing w:val="-5"/>
                <w:sz w:val="24"/>
                <w:lang w:val="en-US" w:eastAsia="zh-Hans"/>
              </w:rPr>
              <w:t>；</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left"/>
              <w:textAlignment w:val="auto"/>
              <w:outlineLvl w:val="9"/>
              <w:rPr>
                <w:rFonts w:hint="eastAsia"/>
                <w:b/>
                <w:bCs/>
                <w:spacing w:val="-5"/>
                <w:sz w:val="24"/>
                <w:lang w:val="en-US" w:eastAsia="zh-Hans"/>
              </w:rPr>
            </w:pPr>
            <w:r>
              <w:rPr>
                <w:rFonts w:hint="eastAsia"/>
                <w:b/>
                <w:bCs/>
                <w:spacing w:val="-5"/>
                <w:sz w:val="24"/>
                <w:lang w:val="en-US" w:eastAsia="zh-Hans"/>
              </w:rPr>
              <w:t>物理因素：噪声、工频电场。</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left"/>
              <w:textAlignment w:val="auto"/>
              <w:outlineLvl w:val="9"/>
              <w:rPr>
                <w:rFonts w:hint="eastAsia" w:ascii="宋体" w:hAnsi="宋体" w:eastAsia="宋体" w:cs="宋体"/>
                <w:b/>
                <w:bCs/>
                <w:spacing w:val="-5"/>
                <w:sz w:val="24"/>
                <w:szCs w:val="22"/>
                <w:lang w:val="en-US" w:eastAsia="zh-CN" w:bidi="ar-SA"/>
              </w:rPr>
            </w:pPr>
            <w:r>
              <w:rPr>
                <w:rFonts w:hint="eastAsia"/>
                <w:b/>
                <w:bCs/>
                <w:spacing w:val="-5"/>
                <w:sz w:val="24"/>
                <w:lang w:val="en-US" w:eastAsia="zh-Hans"/>
              </w:rPr>
              <w:t>检测结果：</w:t>
            </w:r>
          </w:p>
          <w:bookmarkEnd w:id="0"/>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本</w:t>
            </w:r>
            <w:r>
              <w:rPr>
                <w:rFonts w:hint="default"/>
                <w:sz w:val="24"/>
                <w:lang w:val="en-US" w:eastAsia="zh-CN"/>
              </w:rPr>
              <w:t>次检测</w:t>
            </w:r>
            <w:r>
              <w:rPr>
                <w:rFonts w:hint="default"/>
                <w:sz w:val="24"/>
                <w:lang w:eastAsia="zh-CN"/>
              </w:rPr>
              <w:t>是在生产装置满负荷生产， 生产设备运行良好，职业病防护设施正常运行的情况下， 选择有害物质浓度最高的时段和接触时间最长的劳动者进行采样。检测结果表明，在检测期间的工况状态下：</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碳四综合利用装置外操接触的液化石油气、辛烷、戊烷、硫酸及三氧化硫的时间加权平均接触浓度符合《工作场所有害因素职业接触限值第 1 部分 化学有害因素》GBZ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碳四综合利用装置外操接触的氢氧化钠的最高接触浓度符合《工作场所有害因素职业接触限值第 1 部分 化学有害因素》 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碳四综合利用装置外操接触的液化石油气、戊烷、硫酸及三氧化硫的短时间接触浓度符合《工作场所有害因素职业接触限值第 1  部分化学有害因素》 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废酸处理外操接触的硫酸及三氧化硫、二氧化硫、二氧化碳、一氧化碳的时间加权平均接触浓度符合《工作场所有害因素职业接触限值第 1 部分 化学有害因素》 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废酸处理外操接触的氢氧化钠的最高接触浓度符合《工作场所有害因素职业接触限值第 1 部分 化学有害因素》 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废酸处理外操接触的硫酸及三氧化硫、二氧化硫、一氧化碳、二氧化碳的短时间接触浓度符合《工作场所有害因素职业接触限值第 1 部分化学有害因素》GBZ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化验员(气岗) 接触的液化石油气、甲醇；化验员(水岗) 接触的氨、硫酸及三氧化硫；化验员(油岗) 接触的汽油、辛烷的时间加权平均接触浓度符合《工作场所有害因素职业接触限值第 1 部分 化学有害因素》GBZ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化验员(气岗) 接触的液化石油气、甲醇；化验员(水岗)接触 的氨、硫酸及三氧化硫的短时间接触浓度符合《工作场所有害因素职业接触限值第 1 部分化学有害因素》 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化验员(气岗) 接触的硫化氢； 化验员(水岗) 接触的氢氧化钠、氯化氢及盐酸的最高接触浓度符合《工作场所有害因素职业接触限值 第 1 部分 化学有害因素》GBZ 2.1-2019规定的职业接触限值；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化验员(油岗) 接触的汽油、化验员(水岗) 接触的四氯乙烯的峰接触浓度倍数值符合《工作场所有害因素职业接触限值第 1 部分 化学有害因素》 GBZ 2.1-2019 规定的接触限值；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污水岗接触的氨， 副司炉工、锅炉外操接触的矽尘(总尘、呼尘)、一氧化碳、二氧化碳、二氧化硫、氮氧化物， 锅炉外操接触的氨，化水岗接触的氨的时间加权平均接触浓度符合符合《工作场所有害因素职业接触限值第 1 部分 化学有害因素》GBZ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化水岗接触的氯化氢及盐酸、氢氧化钠的最高接触浓度符合《工作场所有害因素职业接触限值第 1 部分化学有害因素》 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污水岗接触的硫化氢、氢氧化钠；锅炉外操接触的氢氧化钠的最高接触浓度符合《工作场所有害因素职业接触限值第 1 部分化学有害因素》 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污水岗、锅炉外操接触的氨、锅炉外操接触的一氧化碳、二氧化碳、氮氧化物、二氧化硫的短时间接触浓度符合《工作场所有害因素职业接触限值第 1 部分 化学有害因素》GBZ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司炉工、锅炉外操接触的矽尘(总尘、呼尘) 的峰接触浓度倍数值均符合《工作场所有害因素职业接触限值第 1 部分化学有害因素》GBZ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原料外操接触的辛烷、汽油， 汽油外操接触的汽油，球罐外操接触的液化石油气，装卸外操接触的液化石油气、汽油的时间加权平均浓度符合符合《工作场所有害因素职业接触限值第 1 部分 化学有害因素》GBZ 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原料外操接触的汽油，汽油外操接触的汽油， 装卸外操接触的汽油的峰接触浓度倍数值符合《工作场所有害因素职业接触限值第 1 部 分化学有害因素》 GBZ2.1-2019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球罐外操接触的液化石油气， 装卸外操接触的液化石油气的短时间接触浓度符合《工作场所有害因素职业接触限值第 1 部分 化学有害因素》 GBZ2.1-2019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rFonts w:hint="default"/>
                <w:sz w:val="24"/>
                <w:lang w:eastAsia="zh-CN"/>
              </w:rPr>
            </w:pPr>
            <w:r>
              <w:rPr>
                <w:rFonts w:hint="default"/>
                <w:sz w:val="24"/>
                <w:lang w:eastAsia="zh-CN"/>
              </w:rPr>
              <w:t>碳四综合利用外操、废酸处理外操、供水岗、污水岗、副司炉工、锅炉外操、空分空压操作工、化水岗、原料外操、汽油外操、柴油外操、球罐外操接触的噪声强度符合《工作场所有害因素职业接触限值 第 2 部分 物理因素》GBZ2.2-2007 规定的职业接触限值。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80" w:firstLineChars="200"/>
              <w:jc w:val="left"/>
              <w:textAlignment w:val="auto"/>
              <w:outlineLvl w:val="9"/>
              <w:rPr>
                <w:sz w:val="24"/>
              </w:rPr>
            </w:pPr>
            <w:r>
              <w:rPr>
                <w:rFonts w:hint="default"/>
                <w:sz w:val="24"/>
                <w:lang w:eastAsia="zh-CN"/>
              </w:rPr>
              <w:t>配电间的运行维护岗接触的工频电场强度符合《工作场所有害因素职业接触限值第 2 部分：物理因素》 GBZ2.2-2007 规定的职业接触限值。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25" w:type="dxa"/>
            <w:gridSpan w:val="5"/>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评价结论与建议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0" w:hRule="atLeast"/>
        </w:trPr>
        <w:tc>
          <w:tcPr>
            <w:tcW w:w="9225" w:type="dxa"/>
            <w:gridSpan w:val="5"/>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bCs/>
                <w:spacing w:val="-5"/>
                <w:sz w:val="24"/>
                <w:lang w:val="en-US" w:eastAsia="zh-Hans"/>
              </w:rPr>
            </w:pPr>
            <w:r>
              <w:rPr>
                <w:rFonts w:hint="eastAsia"/>
                <w:b/>
                <w:bCs/>
                <w:spacing w:val="-5"/>
                <w:sz w:val="24"/>
                <w:lang w:val="en-US" w:eastAsia="zh-Hans"/>
              </w:rPr>
              <w:t>评价结论：本项目属于职业病危害</w:t>
            </w:r>
            <w:r>
              <w:rPr>
                <w:rFonts w:hint="eastAsia"/>
                <w:b/>
                <w:bCs/>
                <w:spacing w:val="-5"/>
                <w:sz w:val="24"/>
                <w:lang w:val="en-US" w:eastAsia="zh-CN"/>
              </w:rPr>
              <w:t>严重</w:t>
            </w:r>
            <w:r>
              <w:rPr>
                <w:rFonts w:hint="eastAsia"/>
                <w:b/>
                <w:bCs/>
                <w:spacing w:val="-5"/>
                <w:sz w:val="24"/>
                <w:lang w:val="en-US" w:eastAsia="zh-Hans"/>
              </w:rPr>
              <w:t>的建设项目。</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left"/>
              <w:textAlignment w:val="auto"/>
              <w:outlineLvl w:val="9"/>
              <w:rPr>
                <w:rFonts w:hint="eastAsia"/>
                <w:b/>
                <w:bCs/>
                <w:spacing w:val="-5"/>
                <w:sz w:val="24"/>
                <w:lang w:val="en-US" w:eastAsia="zh-Hans"/>
              </w:rPr>
            </w:pPr>
            <w:r>
              <w:rPr>
                <w:rFonts w:hint="eastAsia"/>
                <w:b/>
                <w:bCs/>
                <w:spacing w:val="-5"/>
                <w:sz w:val="24"/>
                <w:lang w:val="en-US" w:eastAsia="zh-Hans"/>
              </w:rPr>
              <w:t>建</w:t>
            </w:r>
            <w:r>
              <w:rPr>
                <w:rFonts w:hint="default"/>
                <w:b/>
                <w:bCs/>
                <w:spacing w:val="-5"/>
                <w:sz w:val="24"/>
                <w:lang w:eastAsia="zh-Hans"/>
              </w:rPr>
              <w:t xml:space="preserve">    </w:t>
            </w:r>
            <w:r>
              <w:rPr>
                <w:rFonts w:hint="eastAsia"/>
                <w:b/>
                <w:bCs/>
                <w:spacing w:val="-5"/>
                <w:sz w:val="24"/>
                <w:lang w:val="en-US" w:eastAsia="zh-Hans"/>
              </w:rPr>
              <w:t>议：根据《工业企业设计卫生标准》关于防毒、防噪的相关规定，该公司应从以下几个方面采取措施，进行毒物及噪声的治理，并长期坚持，以保护作业人员的身体健康。</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left"/>
              <w:textAlignment w:val="auto"/>
              <w:outlineLvl w:val="9"/>
              <w:rPr>
                <w:rFonts w:hint="eastAsia"/>
                <w:b/>
                <w:bCs/>
                <w:spacing w:val="-5"/>
                <w:sz w:val="24"/>
                <w:lang w:val="en-US" w:eastAsia="zh-Hans"/>
              </w:rPr>
            </w:pPr>
            <w:r>
              <w:rPr>
                <w:rFonts w:hint="eastAsia"/>
                <w:b/>
                <w:bCs/>
                <w:spacing w:val="-5"/>
                <w:sz w:val="24"/>
                <w:lang w:val="en-US" w:eastAsia="zh-Hans"/>
              </w:rPr>
              <w:t>1. 碳四综合利用装置外操、废酸处理装置外操、供水岗、锅炉外操巡检时瞬时接触噪声强度超过 80dB (A)，建议为碳四综合利用装置外操、废酸处理装置外操、供水岗、锅炉外操岗位作业人员配备符合国家标准的耳塞或耳罩，监督岗位员工正确佩戴。并且应加强对个体防护用品的使用和管理。</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left"/>
              <w:textAlignment w:val="auto"/>
              <w:outlineLvl w:val="9"/>
              <w:rPr>
                <w:rFonts w:hint="eastAsia"/>
                <w:b/>
                <w:bCs/>
                <w:spacing w:val="-5"/>
                <w:sz w:val="24"/>
                <w:lang w:val="en-US" w:eastAsia="zh-Hans"/>
              </w:rPr>
            </w:pPr>
            <w:r>
              <w:rPr>
                <w:rFonts w:hint="eastAsia"/>
                <w:b/>
                <w:bCs/>
                <w:spacing w:val="-5"/>
                <w:sz w:val="24"/>
                <w:lang w:val="en-US" w:eastAsia="zh-Hans"/>
              </w:rPr>
              <w:t>2. 用人单位应按《个人防护装备配备规范》（GB/39800.1-2020）的规定为作业人员配备个人防护用品，同时在购买时索要检定合格证明、生产许可证以及发票，建立个人防护用品的购买、存放、报废等制度。</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left"/>
              <w:textAlignment w:val="auto"/>
              <w:outlineLvl w:val="9"/>
              <w:rPr>
                <w:rFonts w:hint="eastAsia"/>
                <w:b/>
                <w:bCs/>
                <w:spacing w:val="-5"/>
                <w:sz w:val="24"/>
                <w:lang w:val="en-US" w:eastAsia="zh-Hans"/>
              </w:rPr>
            </w:pPr>
            <w:r>
              <w:rPr>
                <w:rFonts w:hint="eastAsia"/>
                <w:b/>
                <w:bCs/>
                <w:spacing w:val="-5"/>
                <w:sz w:val="24"/>
                <w:lang w:val="en-US" w:eastAsia="zh-Hans"/>
              </w:rPr>
              <w:t>3. 用人单位应按照《中华人民共和国职业病防治法》的要求建立职业病危害因素定期检测制度，每年至少委托职业卫生技术服务机构对所有作业场所存在的职业病危害因素进行一次全面检测。</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left"/>
              <w:textAlignment w:val="auto"/>
              <w:outlineLvl w:val="9"/>
              <w:rPr>
                <w:rFonts w:hint="eastAsia"/>
                <w:b/>
                <w:bCs/>
                <w:spacing w:val="-5"/>
                <w:sz w:val="24"/>
                <w:lang w:val="en-US" w:eastAsia="zh-Hans"/>
              </w:rPr>
            </w:pPr>
            <w:r>
              <w:rPr>
                <w:rFonts w:hint="eastAsia"/>
                <w:b/>
                <w:bCs/>
                <w:spacing w:val="-5"/>
                <w:sz w:val="24"/>
                <w:lang w:val="en-US" w:eastAsia="zh-Hans"/>
              </w:rPr>
              <w:t>4.用人单位应根据《职业健康监护技术规范》的要求对接触职业病危害的所有员工在符合要求的职业健康检查机构进行至少每年一次的职业健康检查，并保证体检率达到100%。</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left"/>
              <w:textAlignment w:val="auto"/>
              <w:outlineLvl w:val="9"/>
              <w:rPr>
                <w:spacing w:val="-5"/>
                <w:sz w:val="24"/>
              </w:rPr>
            </w:pPr>
            <w:r>
              <w:rPr>
                <w:rFonts w:hint="eastAsia"/>
                <w:b/>
                <w:bCs/>
                <w:spacing w:val="-5"/>
                <w:sz w:val="24"/>
                <w:lang w:val="en-US" w:eastAsia="zh-Hans"/>
              </w:rPr>
              <w:t>5. 编制职业病危害事故应急救援预案并定期进行演练，应加强对防护设施的维护，预防急性中毒事故的发生。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25" w:type="dxa"/>
            <w:gridSpan w:val="5"/>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技术审查专家组评审意见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25" w:type="dxa"/>
            <w:gridSpan w:val="5"/>
            <w:noWrap w:val="0"/>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eastAsia="zh-CN"/>
              </w:rPr>
            </w:pPr>
            <w:r>
              <w:rPr>
                <w:rFonts w:hint="eastAsia"/>
                <w:sz w:val="24"/>
                <w:lang w:eastAsia="zh-CN"/>
              </w:rPr>
              <w:t>—</w:t>
            </w:r>
          </w:p>
        </w:tc>
      </w:tr>
    </w:tbl>
    <w:p>
      <w:pPr>
        <w:pStyle w:val="3"/>
        <w:rPr>
          <w:rFonts w:hint="eastAsia"/>
          <w:lang w:val="en-US" w:eastAsia="zh-CN"/>
        </w:rPr>
      </w:pPr>
    </w:p>
    <w:p>
      <w:pPr>
        <w:pStyle w:val="3"/>
        <w:rPr>
          <w:rFonts w:hint="eastAsia"/>
          <w:lang w:val="en-US" w:eastAsia="zh-CN"/>
        </w:rPr>
      </w:pPr>
    </w:p>
    <w:p>
      <w:pPr>
        <w:pStyle w:val="3"/>
      </w:pPr>
      <w:r>
        <w:rPr>
          <w:rFonts w:hint="eastAsia"/>
          <w:lang w:val="en-US" w:eastAsia="zh-CN"/>
        </w:rPr>
        <w:t>现场照片</w:t>
      </w:r>
    </w:p>
    <w:p>
      <w:pPr>
        <w:rPr>
          <w:rFonts w:hint="eastAsia"/>
          <w:lang w:val="en-US" w:eastAsia="zh-CN"/>
        </w:rPr>
      </w:pPr>
      <w:r>
        <w:rPr>
          <w:rFonts w:hint="eastAsia" w:ascii="Times New Roman" w:hAnsi="Times New Roman" w:cs="Times New Roman" w:eastAsiaTheme="minorEastAsia"/>
          <w:lang w:eastAsia="zh-CN"/>
        </w:rPr>
        <w:drawing>
          <wp:inline distT="0" distB="0" distL="114300" distR="114300">
            <wp:extent cx="5497195" cy="7396480"/>
            <wp:effectExtent l="0" t="0" r="4445" b="10160"/>
            <wp:docPr id="71" name="图片 71" descr="8d675559559a49f78d257334af67d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8d675559559a49f78d257334af67d1b"/>
                    <pic:cNvPicPr>
                      <a:picLocks noChangeAspect="1"/>
                    </pic:cNvPicPr>
                  </pic:nvPicPr>
                  <pic:blipFill>
                    <a:blip r:embed="rId7"/>
                    <a:stretch>
                      <a:fillRect/>
                    </a:stretch>
                  </pic:blipFill>
                  <pic:spPr>
                    <a:xfrm>
                      <a:off x="0" y="0"/>
                      <a:ext cx="5497195" cy="7396480"/>
                    </a:xfrm>
                    <a:prstGeom prst="rect">
                      <a:avLst/>
                    </a:prstGeom>
                  </pic:spPr>
                </pic:pic>
              </a:graphicData>
            </a:graphic>
          </wp:inline>
        </w:drawing>
      </w:r>
    </w:p>
    <w:p>
      <w:pPr>
        <w:rPr>
          <w:rFonts w:hint="eastAsia" w:ascii="宋体" w:hAnsi="宋体" w:eastAsia="宋体" w:cs="宋体"/>
          <w:sz w:val="22"/>
          <w:szCs w:val="22"/>
          <w:lang w:val="en-US" w:eastAsia="zh-CN" w:bidi="ar-SA"/>
        </w:rPr>
      </w:pPr>
    </w:p>
    <w:p>
      <w:pPr>
        <w:rPr>
          <w:rFonts w:hint="eastAsia"/>
          <w:lang w:val="en-US" w:eastAsia="zh-CN"/>
        </w:rPr>
      </w:pPr>
    </w:p>
    <w:p>
      <w:pPr>
        <w:pStyle w:val="7"/>
        <w:ind w:left="0" w:leftChars="0" w:firstLine="0" w:firstLineChars="0"/>
        <w:rPr>
          <w:rFonts w:hint="eastAsia"/>
          <w:lang w:val="en-US" w:eastAsia="zh-CN"/>
        </w:rPr>
      </w:pPr>
    </w:p>
    <w:p>
      <w:pPr>
        <w:pStyle w:val="7"/>
        <w:ind w:left="0" w:leftChars="0" w:firstLine="0" w:firstLineChars="0"/>
        <w:rPr>
          <w:rFonts w:hint="eastAsia"/>
          <w:lang w:val="en-US" w:eastAsia="zh-CN"/>
        </w:rPr>
      </w:pPr>
    </w:p>
    <w:p>
      <w:pPr>
        <w:rPr>
          <w:rFonts w:hint="eastAsia"/>
          <w:lang w:val="en-US" w:eastAsia="zh-CN"/>
        </w:rPr>
      </w:pPr>
      <w:r>
        <w:rPr>
          <w:rFonts w:hint="eastAsia" w:ascii="Times New Roman" w:hAnsi="Times New Roman" w:cs="Times New Roman" w:eastAsiaTheme="minorEastAsia"/>
          <w:lang w:eastAsia="zh-CN"/>
        </w:rPr>
        <w:drawing>
          <wp:inline distT="0" distB="0" distL="114300" distR="114300">
            <wp:extent cx="5725160" cy="3867150"/>
            <wp:effectExtent l="0" t="0" r="5080" b="3810"/>
            <wp:docPr id="72" name="图片 72" descr="94499EBC5627D319531C8D7D8184C7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94499EBC5627D319531C8D7D8184C7C6"/>
                    <pic:cNvPicPr>
                      <a:picLocks noChangeAspect="1"/>
                    </pic:cNvPicPr>
                  </pic:nvPicPr>
                  <pic:blipFill>
                    <a:blip r:embed="rId8"/>
                    <a:stretch>
                      <a:fillRect/>
                    </a:stretch>
                  </pic:blipFill>
                  <pic:spPr>
                    <a:xfrm>
                      <a:off x="0" y="0"/>
                      <a:ext cx="5725160" cy="3867150"/>
                    </a:xfrm>
                    <a:prstGeom prst="rect">
                      <a:avLst/>
                    </a:prstGeom>
                  </pic:spPr>
                </pic:pic>
              </a:graphicData>
            </a:graphic>
          </wp:inline>
        </w:drawing>
      </w:r>
    </w:p>
    <w:p>
      <w:pPr>
        <w:pStyle w:val="7"/>
        <w:rPr>
          <w:rFonts w:hint="eastAsia"/>
          <w:lang w:val="en-US" w:eastAsia="zh-CN"/>
        </w:rPr>
      </w:pPr>
    </w:p>
    <w:p>
      <w:pPr>
        <w:rPr>
          <w:rFonts w:hint="eastAsia"/>
          <w:lang w:val="en-US" w:eastAsia="zh-CN"/>
        </w:rPr>
      </w:pPr>
    </w:p>
    <w:p>
      <w:pPr>
        <w:pStyle w:val="7"/>
        <w:rPr>
          <w:rFonts w:hint="eastAsia"/>
          <w:lang w:val="en-US" w:eastAsia="zh-CN"/>
        </w:rPr>
      </w:pPr>
    </w:p>
    <w:p>
      <w:pPr>
        <w:rPr>
          <w:rFonts w:hint="eastAsia"/>
          <w:lang w:val="en-US" w:eastAsia="zh-CN"/>
        </w:rPr>
      </w:pPr>
    </w:p>
    <w:p>
      <w:pPr>
        <w:pStyle w:val="7"/>
        <w:ind w:left="0" w:leftChars="0" w:firstLine="0" w:firstLineChars="0"/>
        <w:rPr>
          <w:rFonts w:hint="eastAsia"/>
          <w:lang w:val="en-US" w:eastAsia="zh-CN"/>
        </w:rPr>
      </w:pPr>
      <w:r>
        <w:rPr>
          <w:rFonts w:hint="eastAsia"/>
          <w:lang w:eastAsia="zh-CN"/>
        </w:rPr>
        <w:drawing>
          <wp:inline distT="0" distB="0" distL="114300" distR="114300">
            <wp:extent cx="5725160" cy="3562350"/>
            <wp:effectExtent l="0" t="0" r="5080" b="3810"/>
            <wp:docPr id="73" name="图片 73" descr="FD35CDC1B2384C65ED80177EA7D0C2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FD35CDC1B2384C65ED80177EA7D0C27B"/>
                    <pic:cNvPicPr>
                      <a:picLocks noChangeAspect="1"/>
                    </pic:cNvPicPr>
                  </pic:nvPicPr>
                  <pic:blipFill>
                    <a:blip r:embed="rId9"/>
                    <a:stretch>
                      <a:fillRect/>
                    </a:stretch>
                  </pic:blipFill>
                  <pic:spPr>
                    <a:xfrm>
                      <a:off x="0" y="0"/>
                      <a:ext cx="5725160" cy="3562350"/>
                    </a:xfrm>
                    <a:prstGeom prst="rect">
                      <a:avLst/>
                    </a:prstGeom>
                  </pic:spPr>
                </pic:pic>
              </a:graphicData>
            </a:graphic>
          </wp:inline>
        </w:drawing>
      </w:r>
    </w:p>
    <w:p>
      <w:pPr>
        <w:rPr>
          <w:rFonts w:hint="eastAsia"/>
          <w:lang w:val="en-US" w:eastAsia="zh-CN"/>
        </w:rPr>
      </w:pPr>
    </w:p>
    <w:sectPr>
      <w:headerReference r:id="rId5" w:type="default"/>
      <w:type w:val="continuous"/>
      <w:pgSz w:w="11910" w:h="16840"/>
      <w:pgMar w:top="1440" w:right="1440" w:bottom="1440" w:left="1440" w:header="720" w:footer="720"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ZXiaoBiaoSong-B05S">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3543"/>
      <w:gridCol w:w="261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085" w:type="dxa"/>
          <w:noWrap w:val="0"/>
          <w:vAlign w:val="center"/>
        </w:tcPr>
        <w:p>
          <w:pPr>
            <w:adjustRightInd w:val="0"/>
            <w:snapToGrid w:val="0"/>
            <w:jc w:val="left"/>
            <w:rPr>
              <w:rFonts w:hint="eastAsia" w:ascii="宋体" w:hAnsi="宋体" w:eastAsia="宋体"/>
              <w:szCs w:val="21"/>
              <w:lang w:val="en-US" w:eastAsia="zh-CN"/>
            </w:rPr>
          </w:pPr>
          <w:r>
            <w:rPr>
              <w:sz w:val="18"/>
            </w:rPr>
            <w:t>文件编号：JLZG/JL-ZK-050</w:t>
          </w:r>
        </w:p>
      </w:tc>
      <w:tc>
        <w:tcPr>
          <w:tcW w:w="3543" w:type="dxa"/>
          <w:noWrap w:val="0"/>
          <w:vAlign w:val="center"/>
        </w:tcPr>
        <w:p>
          <w:pPr>
            <w:adjustRightInd w:val="0"/>
            <w:snapToGrid w:val="0"/>
            <w:jc w:val="center"/>
            <w:rPr>
              <w:rFonts w:ascii="宋体" w:hAnsi="宋体"/>
              <w:szCs w:val="21"/>
            </w:rPr>
          </w:pPr>
          <w:r>
            <w:rPr>
              <w:rFonts w:hint="eastAsia" w:ascii="宋体" w:hAnsi="宋体"/>
              <w:szCs w:val="21"/>
            </w:rPr>
            <w:t>职业卫生</w:t>
          </w:r>
          <w:r>
            <w:rPr>
              <w:rFonts w:hint="eastAsia"/>
              <w:szCs w:val="21"/>
              <w:lang w:val="en-US" w:eastAsia="zh-Hans"/>
            </w:rPr>
            <w:t>检测评价</w:t>
          </w:r>
          <w:r>
            <w:rPr>
              <w:rFonts w:hint="eastAsia" w:ascii="宋体" w:hAnsi="宋体"/>
              <w:szCs w:val="21"/>
            </w:rPr>
            <w:t>报告网上公示</w:t>
          </w:r>
        </w:p>
      </w:tc>
      <w:tc>
        <w:tcPr>
          <w:tcW w:w="2614" w:type="dxa"/>
          <w:noWrap w:val="0"/>
          <w:vAlign w:val="center"/>
        </w:tcPr>
        <w:p>
          <w:pPr>
            <w:adjustRightInd w:val="0"/>
            <w:snapToGrid w:val="0"/>
            <w:jc w:val="center"/>
            <w:rPr>
              <w:rFonts w:ascii="宋体" w:hAnsi="宋体"/>
              <w:szCs w:val="21"/>
            </w:rPr>
          </w:pPr>
          <w:r>
            <w:rPr>
              <w:sz w:val="18"/>
            </w:rPr>
            <w:t>吉林省正光安全科技有限公司</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242" w:type="dxa"/>
          <w:gridSpan w:val="3"/>
          <w:noWrap w:val="0"/>
          <w:vAlign w:val="center"/>
        </w:tcPr>
        <w:p>
          <w:pPr>
            <w:adjustRightInd w:val="0"/>
            <w:snapToGrid w:val="0"/>
            <w:rPr>
              <w:rFonts w:ascii="宋体" w:hAnsi="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posOffset>4857750</wp:posOffset>
                    </wp:positionH>
                    <wp:positionV relativeFrom="paragraph">
                      <wp:posOffset>-22860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2.5pt;margin-top:-1.8pt;height:144pt;width:144pt;mso-position-horizontal-relative:margin;mso-wrap-style:none;z-index:251659264;mso-width-relative:page;mso-height-relative:page;" filled="f" stroked="f" coordsize="21600,21600" o:gfxdata="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O0ZmCDZAAAACwEAAA8AAAAAAAAAAQAgAAAAIgAAAGRycy9kb3ducmV2Lnht&#10;bFBLAQIUABQAAAAIAIdO4kBItvYn3AIAACQGAAAOAAAAAAAAAAEAIAAAACgBAABkcnMvZTJvRG9j&#10;LnhtbFBLBQYAAAAABgAGAFkBAAB2Bg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r>
            <w:rPr>
              <w:rFonts w:hint="eastAsia" w:ascii="宋体" w:hAnsi="宋体"/>
              <w:sz w:val="18"/>
              <w:szCs w:val="18"/>
            </w:rPr>
            <w:t>项目编号：吉正光职</w:t>
          </w:r>
          <w:r>
            <w:rPr>
              <w:rFonts w:hint="eastAsia"/>
              <w:sz w:val="18"/>
              <w:szCs w:val="18"/>
              <w:lang w:val="en-US" w:eastAsia="zh-CN"/>
            </w:rPr>
            <w:t>检</w:t>
          </w:r>
          <w:r>
            <w:rPr>
              <w:rFonts w:hint="eastAsia" w:ascii="宋体" w:hAnsi="宋体"/>
              <w:sz w:val="18"/>
              <w:szCs w:val="18"/>
            </w:rPr>
            <w:t>评（</w:t>
          </w:r>
          <w:r>
            <w:rPr>
              <w:rFonts w:hint="eastAsia"/>
              <w:sz w:val="18"/>
              <w:szCs w:val="18"/>
              <w:lang w:val="en-US" w:eastAsia="zh-CN"/>
            </w:rPr>
            <w:t>2023</w:t>
          </w:r>
          <w:r>
            <w:rPr>
              <w:rFonts w:hint="eastAsia" w:ascii="宋体" w:hAnsi="宋体"/>
              <w:sz w:val="18"/>
              <w:szCs w:val="18"/>
            </w:rPr>
            <w:t xml:space="preserve">）第 </w:t>
          </w:r>
          <w:r>
            <w:rPr>
              <w:rFonts w:hint="eastAsia"/>
              <w:sz w:val="18"/>
              <w:szCs w:val="18"/>
              <w:lang w:val="en-US" w:eastAsia="zh-CN"/>
            </w:rPr>
            <w:t>042</w:t>
          </w:r>
          <w:r>
            <w:rPr>
              <w:rFonts w:hint="eastAsia" w:ascii="宋体" w:hAnsi="宋体"/>
              <w:sz w:val="18"/>
              <w:szCs w:val="18"/>
            </w:rPr>
            <w:t xml:space="preserve"> 号</w:t>
          </w:r>
          <w:r>
            <w:rPr>
              <w:rFonts w:hint="eastAsia" w:ascii="宋体" w:hAnsi="宋体"/>
              <w:sz w:val="18"/>
              <w:szCs w:val="18"/>
            </w:rPr>
            <w:tab/>
          </w:r>
          <w:r>
            <w:rPr>
              <w:rFonts w:hint="eastAsia" w:ascii="宋体" w:hAnsi="宋体"/>
              <w:sz w:val="18"/>
              <w:szCs w:val="18"/>
            </w:rPr>
            <w:t xml:space="preserve">                                   </w:t>
          </w:r>
          <w:r>
            <w:rPr>
              <w:rFonts w:hint="eastAsia"/>
              <w:sz w:val="18"/>
              <w:szCs w:val="18"/>
              <w:lang w:val="en-US" w:eastAsia="zh-CN"/>
            </w:rPr>
            <w:t xml:space="preserve">      </w:t>
          </w:r>
        </w:p>
      </w:tc>
    </w:tr>
  </w:tbl>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jYWJmOTU0Y2Q1NDBhYmMzMDhkOGU0NThkZDdjZTAifQ=="/>
  </w:docVars>
  <w:rsids>
    <w:rsidRoot w:val="00000000"/>
    <w:rsid w:val="04367526"/>
    <w:rsid w:val="0474302D"/>
    <w:rsid w:val="05DF007B"/>
    <w:rsid w:val="0CA86033"/>
    <w:rsid w:val="188B794B"/>
    <w:rsid w:val="257E1E62"/>
    <w:rsid w:val="2DCF1084"/>
    <w:rsid w:val="3A3A6B37"/>
    <w:rsid w:val="3DEB25A4"/>
    <w:rsid w:val="3FBFE734"/>
    <w:rsid w:val="3FDE4F11"/>
    <w:rsid w:val="4DDE00FE"/>
    <w:rsid w:val="52DB6BD8"/>
    <w:rsid w:val="536C7F5A"/>
    <w:rsid w:val="6555291E"/>
    <w:rsid w:val="655619D4"/>
    <w:rsid w:val="67DB07F2"/>
    <w:rsid w:val="6D07106B"/>
    <w:rsid w:val="7B087CB8"/>
    <w:rsid w:val="7B150754"/>
    <w:rsid w:val="7BB96489"/>
    <w:rsid w:val="7FBF320B"/>
    <w:rsid w:val="F7FFEDE5"/>
    <w:rsid w:val="FEDF9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794"/>
    </w:pPr>
    <w:rPr>
      <w:sz w:val="32"/>
      <w:szCs w:val="20"/>
    </w:rPr>
  </w:style>
  <w:style w:type="paragraph" w:styleId="3">
    <w:name w:val="Body Text"/>
    <w:basedOn w:val="1"/>
    <w:next w:val="4"/>
    <w:qFormat/>
    <w:uiPriority w:val="1"/>
    <w:rPr>
      <w:rFonts w:ascii="FZXiaoBiaoSong-B05S" w:hAnsi="FZXiaoBiaoSong-B05S" w:eastAsia="FZXiaoBiaoSong-B05S" w:cs="FZXiaoBiaoSong-B05S"/>
      <w:sz w:val="36"/>
      <w:szCs w:val="36"/>
    </w:rPr>
  </w:style>
  <w:style w:type="paragraph" w:styleId="4">
    <w:name w:val="toc 1"/>
    <w:basedOn w:val="1"/>
    <w:next w:val="1"/>
    <w:unhideWhenUsed/>
    <w:qFormat/>
    <w:uiPriority w:val="39"/>
    <w:pPr>
      <w:spacing w:line="460" w:lineRule="exact"/>
    </w:pPr>
    <w:rPr>
      <w:rFonts w:eastAsia="仿宋_GB2312"/>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7">
    <w:name w:val="Body Text First Indent"/>
    <w:basedOn w:val="1"/>
    <w:next w:val="1"/>
    <w:qFormat/>
    <w:uiPriority w:val="0"/>
    <w:pPr>
      <w:adjustRightInd w:val="0"/>
      <w:snapToGrid w:val="0"/>
      <w:spacing w:line="300" w:lineRule="auto"/>
      <w:ind w:firstLine="200" w:firstLineChars="200"/>
    </w:pPr>
    <w:rPr>
      <w:bCs/>
      <w:szCs w:val="32"/>
    </w:rPr>
  </w:style>
  <w:style w:type="character" w:styleId="10">
    <w:name w:val="Hyperlink"/>
    <w:basedOn w:val="9"/>
    <w:uiPriority w:val="0"/>
    <w:rPr>
      <w:color w:val="0000FF"/>
      <w:u w:val="single"/>
    </w:rPr>
  </w:style>
  <w:style w:type="paragraph" w:customStyle="1" w:styleId="11">
    <w:name w:val="Table Paragraph"/>
    <w:basedOn w:val="1"/>
    <w:qFormat/>
    <w:uiPriority w:val="1"/>
    <w:pPr>
      <w:spacing w:before="101"/>
      <w:ind w:left="107"/>
    </w:pPr>
    <w:rPr>
      <w:rFonts w:ascii="宋体" w:hAnsi="宋体" w:eastAsia="宋体" w:cs="宋体"/>
    </w:rPr>
  </w:style>
  <w:style w:type="paragraph" w:customStyle="1" w:styleId="12">
    <w:name w:val="正文文字"/>
    <w:basedOn w:val="1"/>
    <w:next w:val="1"/>
    <w:qFormat/>
    <w:uiPriority w:val="0"/>
    <w:pPr>
      <w:spacing w:after="120"/>
    </w:pPr>
  </w:style>
  <w:style w:type="paragraph" w:customStyle="1" w:styleId="13">
    <w:name w:val="List Paragraph"/>
    <w:basedOn w:val="1"/>
    <w:qFormat/>
    <w:uiPriority w:val="1"/>
  </w:style>
  <w:style w:type="paragraph" w:customStyle="1" w:styleId="14">
    <w:name w:val="报告正文"/>
    <w:basedOn w:val="1"/>
    <w:qFormat/>
    <w:uiPriority w:val="0"/>
    <w:pPr>
      <w:spacing w:line="460" w:lineRule="exact"/>
      <w:ind w:firstLine="560" w:firstLineChars="200"/>
    </w:pPr>
    <w:rPr>
      <w:rFonts w:eastAsia="仿宋_GB2312"/>
      <w:kern w:val="0"/>
      <w:sz w:val="28"/>
    </w:rPr>
  </w:style>
  <w:style w:type="table" w:customStyle="1" w:styleId="15">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2021-11-10T16:38:00Z</dcterms:created>
  <dc:creator>李红丽</dc:creator>
  <cp:lastModifiedBy>开始奋斗吧，青年。</cp:lastModifiedBy>
  <dcterms:modified xsi:type="dcterms:W3CDTF">2023-10-09T02:19:28Z</dcterms:modified>
  <dc:title>职业卫生评价报告网上公示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WPS Office</vt:lpwstr>
  </property>
  <property fmtid="{D5CDD505-2E9C-101B-9397-08002B2CF9AE}" pid="4" name="LastSaved">
    <vt:filetime>2021-11-10T00:00:00Z</vt:filetime>
  </property>
  <property fmtid="{D5CDD505-2E9C-101B-9397-08002B2CF9AE}" pid="5" name="KSOProductBuildVer">
    <vt:lpwstr>2052-12.1.0.15374</vt:lpwstr>
  </property>
  <property fmtid="{D5CDD505-2E9C-101B-9397-08002B2CF9AE}" pid="6" name="ICV">
    <vt:lpwstr>39C022C9252347B4BBBE52ABB4B187BD_13</vt:lpwstr>
  </property>
</Properties>
</file>