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洮南市万宝镇农机加油站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4"/>
        <w:gridCol w:w="2229"/>
        <w:gridCol w:w="166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洮南市万宝镇农机加油站安全现状评价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李琼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吉林省洮南市万宝镇二街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洮南市万宝镇农机加油站</w:t>
            </w:r>
            <w:r>
              <w:rPr>
                <w:rFonts w:hint="eastAsia"/>
                <w:sz w:val="18"/>
                <w:szCs w:val="18"/>
              </w:rPr>
              <w:t>规模：占地面积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935.89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，站房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1建筑163.8㎡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站房2建筑面积18㎡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罩棚面积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166.75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。加油站现有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个双层SF埋地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储罐</w:t>
            </w:r>
            <w:r>
              <w:rPr>
                <w:rFonts w:hint="eastAsia"/>
                <w:sz w:val="18"/>
                <w:szCs w:val="18"/>
              </w:rPr>
              <w:t>，其中包括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m³柴油罐、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/>
                <w:sz w:val="18"/>
                <w:szCs w:val="18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m3，总容积为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/>
                <w:sz w:val="18"/>
                <w:szCs w:val="18"/>
              </w:rPr>
              <w:t>m3，</w:t>
            </w:r>
            <w:r>
              <w:rPr>
                <w:rFonts w:hint="eastAsia"/>
                <w:sz w:val="18"/>
                <w:szCs w:val="18"/>
                <w:lang w:eastAsia="zh-CN"/>
              </w:rPr>
              <w:t>该加油站</w:t>
            </w:r>
            <w:r>
              <w:rPr>
                <w:rFonts w:hint="eastAsia"/>
                <w:sz w:val="18"/>
                <w:szCs w:val="18"/>
              </w:rPr>
              <w:t>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sz w:val="18"/>
                <w:szCs w:val="18"/>
              </w:rPr>
              <w:t>级加油站。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加油站东侧为106县道（主干路），南侧为民房（三类保护物）、民房烟囱（散发火花地点）、架空电力线（杆高7m，有绝缘层），西侧为养牛场（丙类厂房）、架空电力线（杆高7m，有绝缘层），北侧为架空电力线（杆高10m，无绝缘层）、架空电力线（杆高6m，有绝缘层）、架空通讯线、养羊场（丙类厂房）、羊场值班室（三类保护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陈振芳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2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1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21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，本评价认为洮南市万宝镇农机加油站的安全条件符合运行要求，具备安全生产条件。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bookmarkStart w:id="0" w:name="_GoBack"/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C243291"/>
    <w:rsid w:val="2CE521D2"/>
    <w:rsid w:val="2CFB1290"/>
    <w:rsid w:val="2DE346CD"/>
    <w:rsid w:val="2F537F03"/>
    <w:rsid w:val="33557238"/>
    <w:rsid w:val="344717FA"/>
    <w:rsid w:val="3CB84718"/>
    <w:rsid w:val="3D5D7285"/>
    <w:rsid w:val="3E4F4C24"/>
    <w:rsid w:val="3F682B7F"/>
    <w:rsid w:val="40A53C4B"/>
    <w:rsid w:val="420A453A"/>
    <w:rsid w:val="45264B07"/>
    <w:rsid w:val="4918125D"/>
    <w:rsid w:val="4CF0697B"/>
    <w:rsid w:val="4D317A90"/>
    <w:rsid w:val="4E140D38"/>
    <w:rsid w:val="4E3B1830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