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洮南市光华加油站安全现状评价</w:t>
      </w:r>
      <w:r>
        <w:rPr>
          <w:rFonts w:hint="eastAsia"/>
        </w:rPr>
        <w:t>公示表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194"/>
        <w:gridCol w:w="2229"/>
        <w:gridCol w:w="1662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洮南市光华加油站安全现状评价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刘浩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吉林省洮南市万宝镇光华村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bookmarkStart w:id="0" w:name="_GoBack"/>
            <w:r>
              <w:rPr>
                <w:rFonts w:hint="eastAsia"/>
                <w:lang w:eastAsia="zh-CN"/>
              </w:rPr>
              <w:t>洮南市光华加油站</w:t>
            </w:r>
            <w:r>
              <w:rPr>
                <w:rFonts w:hint="eastAsia"/>
              </w:rPr>
              <w:t>规模：占地面积</w:t>
            </w:r>
            <w:r>
              <w:rPr>
                <w:rFonts w:hint="eastAsia"/>
                <w:lang w:val="en-US" w:eastAsia="zh-CN"/>
              </w:rPr>
              <w:t>1163.64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，站房</w:t>
            </w:r>
            <w:r>
              <w:rPr>
                <w:rFonts w:hint="eastAsia"/>
                <w:lang w:val="en-US" w:eastAsia="zh-CN"/>
              </w:rPr>
              <w:t>2建筑面积50㎡，站房1建筑</w:t>
            </w:r>
            <w:r>
              <w:rPr>
                <w:rFonts w:hint="eastAsia"/>
              </w:rPr>
              <w:t>面积</w:t>
            </w:r>
            <w:r>
              <w:rPr>
                <w:rFonts w:hint="eastAsia"/>
                <w:lang w:val="en-US" w:eastAsia="zh-CN"/>
              </w:rPr>
              <w:t>280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，罩棚投影面积</w:t>
            </w:r>
            <w:r>
              <w:rPr>
                <w:rFonts w:hint="eastAsia"/>
                <w:lang w:val="en-US" w:eastAsia="zh-CN"/>
              </w:rPr>
              <w:t>323.42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lang w:val="en-US" w:eastAsia="zh-CN"/>
              </w:rPr>
              <w:t>该</w:t>
            </w:r>
            <w:r>
              <w:rPr>
                <w:rFonts w:hint="eastAsia"/>
              </w:rPr>
              <w:t>加油站现有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个双层SF埋地</w:t>
            </w:r>
            <w:r>
              <w:rPr>
                <w:rFonts w:hint="eastAsia"/>
                <w:lang w:val="en-US" w:eastAsia="zh-CN"/>
              </w:rPr>
              <w:t>储罐</w:t>
            </w:r>
            <w:r>
              <w:rPr>
                <w:rFonts w:hint="eastAsia"/>
              </w:rPr>
              <w:t>，其中包括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m³柴油罐、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，总容积为</w:t>
            </w:r>
            <w:r>
              <w:rPr>
                <w:rFonts w:hint="eastAsia"/>
                <w:lang w:val="en-US" w:eastAsia="zh-CN"/>
              </w:rPr>
              <w:t>150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该加油站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级加油站。</w:t>
            </w:r>
            <w:r>
              <w:rPr>
                <w:rFonts w:hint="eastAsia"/>
                <w:lang w:val="en-US" w:eastAsia="zh-CN"/>
              </w:rPr>
              <w:t>该</w:t>
            </w:r>
            <w:r>
              <w:rPr>
                <w:rFonts w:hint="eastAsia"/>
              </w:rPr>
              <w:t>加油站东侧为</w:t>
            </w:r>
            <w:r>
              <w:rPr>
                <w:rFonts w:hint="eastAsia"/>
                <w:lang w:val="en-US" w:eastAsia="zh-CN"/>
              </w:rPr>
              <w:t>民房（三类保护物）、民房烟囱（散发火花地点），南侧为106县道（三级公路）、民房（三类保护物）、民房烟囱（散发火花地点）、药店（三类保护物），西侧为耕地，北侧为小路（支路）、架空通讯线</w:t>
            </w:r>
            <w:r>
              <w:rPr>
                <w:rFonts w:hint="eastAsia"/>
                <w:lang w:eastAsia="zh-CN"/>
              </w:rPr>
              <w:t>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2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63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，本评价认为洮南市光华加油站的安全条件符合运行要求，具备安全生产条件。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232410</wp:posOffset>
            </wp:positionV>
            <wp:extent cx="5419090" cy="5046345"/>
            <wp:effectExtent l="0" t="0" r="13335" b="6350"/>
            <wp:wrapTopAndBottom/>
            <wp:docPr id="1" name="图片 1" descr="IMG_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9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909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5CD6FFF"/>
    <w:rsid w:val="661B5E1C"/>
    <w:rsid w:val="66624FDA"/>
    <w:rsid w:val="685E432C"/>
    <w:rsid w:val="6B4F07CF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7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2024-01-03T02:23:24Z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