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扶余市兴盛石油有限公司</w:t>
      </w:r>
    </w:p>
    <w:p>
      <w:pPr>
        <w:pStyle w:val="16"/>
        <w:bidi w:val="0"/>
        <w:rPr>
          <w:rFonts w:hint="eastAsia"/>
        </w:rPr>
      </w:pPr>
      <w:r>
        <w:rPr>
          <w:rFonts w:hint="eastAsia"/>
          <w:lang w:val="en-US" w:eastAsia="zh-CN"/>
        </w:rPr>
        <w:t>安全现状评价</w:t>
      </w:r>
      <w:r>
        <w:rPr>
          <w:rFonts w:hint="eastAsia"/>
        </w:rPr>
        <w:t>公示表</w:t>
      </w:r>
    </w:p>
    <w:tbl>
      <w:tblPr>
        <w:tblStyle w:val="12"/>
        <w:tblW w:w="89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4"/>
        <w:gridCol w:w="2199"/>
        <w:gridCol w:w="2234"/>
        <w:gridCol w:w="1665"/>
        <w:gridCol w:w="23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564" w:type="dxa"/>
            <w:vMerge w:val="restart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项目概况</w:t>
            </w:r>
          </w:p>
        </w:tc>
        <w:tc>
          <w:tcPr>
            <w:tcW w:w="2199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2234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扶余市兴盛石油有限公司安全现状评价</w:t>
            </w:r>
          </w:p>
        </w:tc>
        <w:tc>
          <w:tcPr>
            <w:tcW w:w="1665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行业类别</w:t>
            </w:r>
          </w:p>
        </w:tc>
        <w:tc>
          <w:tcPr>
            <w:tcW w:w="2336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成品油零售业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  <w:jc w:val="center"/>
        </w:trPr>
        <w:tc>
          <w:tcPr>
            <w:tcW w:w="564" w:type="dxa"/>
            <w:vMerge w:val="continue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</w:p>
        </w:tc>
        <w:tc>
          <w:tcPr>
            <w:tcW w:w="2199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项目业主</w:t>
            </w:r>
          </w:p>
        </w:tc>
        <w:tc>
          <w:tcPr>
            <w:tcW w:w="2234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 w:ascii="黑体" w:hAnsi="黑体" w:eastAsia="黑体" w:cs="黑体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kern w:val="1"/>
                <w:sz w:val="21"/>
                <w:szCs w:val="21"/>
                <w:lang w:val="en-US" w:eastAsia="zh-CN"/>
              </w:rPr>
              <w:t>杨宝学</w:t>
            </w:r>
          </w:p>
        </w:tc>
        <w:tc>
          <w:tcPr>
            <w:tcW w:w="1665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项目性质</w:t>
            </w:r>
          </w:p>
        </w:tc>
        <w:tc>
          <w:tcPr>
            <w:tcW w:w="2336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安全</w:t>
            </w:r>
            <w:r>
              <w:rPr>
                <w:rFonts w:hint="eastAsia" w:ascii="黑体" w:hAnsi="黑体" w:eastAsia="黑体" w:cs="黑体"/>
                <w:sz w:val="21"/>
                <w:szCs w:val="21"/>
                <w:lang w:val="en-US" w:eastAsia="zh-CN"/>
              </w:rPr>
              <w:t>现状</w:t>
            </w:r>
            <w:r>
              <w:rPr>
                <w:rFonts w:hint="eastAsia" w:ascii="黑体" w:hAnsi="黑体" w:eastAsia="黑体" w:cs="黑体"/>
                <w:sz w:val="21"/>
                <w:szCs w:val="21"/>
              </w:rPr>
              <w:t>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  <w:jc w:val="center"/>
        </w:trPr>
        <w:tc>
          <w:tcPr>
            <w:tcW w:w="564" w:type="dxa"/>
            <w:vMerge w:val="continue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</w:p>
        </w:tc>
        <w:tc>
          <w:tcPr>
            <w:tcW w:w="2199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项目地址</w:t>
            </w:r>
          </w:p>
        </w:tc>
        <w:tc>
          <w:tcPr>
            <w:tcW w:w="6235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8"/>
                <w:sz w:val="21"/>
                <w:szCs w:val="21"/>
                <w:highlight w:val="none"/>
                <w:lang w:eastAsia="zh-CN"/>
              </w:rPr>
              <w:t>扶余市新万发镇街</w:t>
            </w:r>
            <w:r>
              <w:rPr>
                <w:rFonts w:hint="eastAsia" w:ascii="黑体" w:hAnsi="黑体" w:eastAsia="黑体" w:cs="黑体"/>
                <w:spacing w:val="-8"/>
                <w:sz w:val="21"/>
                <w:szCs w:val="21"/>
                <w:highlight w:val="none"/>
                <w:lang w:val="en-US" w:eastAsia="zh-CN"/>
              </w:rPr>
              <w:t>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1" w:hRule="atLeast"/>
          <w:jc w:val="center"/>
        </w:trPr>
        <w:tc>
          <w:tcPr>
            <w:tcW w:w="564" w:type="dxa"/>
            <w:vMerge w:val="continue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</w:p>
        </w:tc>
        <w:tc>
          <w:tcPr>
            <w:tcW w:w="2199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项目简介</w:t>
            </w:r>
          </w:p>
        </w:tc>
        <w:tc>
          <w:tcPr>
            <w:tcW w:w="6235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kern w:val="1"/>
                <w:sz w:val="21"/>
                <w:szCs w:val="21"/>
              </w:rPr>
              <w:t>该站</w:t>
            </w:r>
            <w:r>
              <w:rPr>
                <w:rFonts w:hint="eastAsia" w:ascii="黑体" w:hAnsi="黑体" w:eastAsia="黑体" w:cs="黑体"/>
                <w:color w:val="000000"/>
                <w:kern w:val="0"/>
                <w:sz w:val="21"/>
                <w:szCs w:val="21"/>
                <w:lang w:val="en-US" w:eastAsia="zh-CN" w:bidi="ar"/>
              </w:rPr>
              <w:t>总占地面积1400</w:t>
            </w:r>
            <w:r>
              <w:rPr>
                <w:rFonts w:hint="eastAsia" w:ascii="黑体" w:hAnsi="黑体" w:eastAsia="黑体" w:cs="黑体"/>
                <w:color w:val="000000"/>
                <w:sz w:val="21"/>
                <w:szCs w:val="21"/>
              </w:rPr>
              <w:t>m</w:t>
            </w:r>
            <w:r>
              <w:rPr>
                <w:rFonts w:hint="eastAsia" w:ascii="黑体" w:hAnsi="黑体" w:eastAsia="黑体" w:cs="黑体"/>
                <w:color w:val="000000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ascii="黑体" w:hAnsi="黑体" w:eastAsia="黑体" w:cs="黑体"/>
                <w:color w:val="000000"/>
                <w:kern w:val="0"/>
                <w:sz w:val="21"/>
                <w:szCs w:val="21"/>
                <w:lang w:val="en-US" w:eastAsia="zh-CN" w:bidi="ar"/>
              </w:rPr>
              <w:t>，站房占地面积80m</w:t>
            </w:r>
            <w:r>
              <w:rPr>
                <w:rFonts w:hint="eastAsia" w:ascii="黑体" w:hAnsi="黑体" w:eastAsia="黑体" w:cs="黑体"/>
                <w:color w:val="000000"/>
                <w:kern w:val="0"/>
                <w:sz w:val="21"/>
                <w:szCs w:val="21"/>
                <w:vertAlign w:val="superscript"/>
                <w:lang w:val="en-US" w:eastAsia="zh-CN" w:bidi="ar"/>
              </w:rPr>
              <w:t>2</w:t>
            </w:r>
            <w:r>
              <w:rPr>
                <w:rFonts w:hint="eastAsia" w:ascii="黑体" w:hAnsi="黑体" w:eastAsia="黑体" w:cs="黑体"/>
                <w:color w:val="000000"/>
                <w:kern w:val="0"/>
                <w:sz w:val="21"/>
                <w:szCs w:val="21"/>
                <w:lang w:val="en-US" w:eastAsia="zh-CN" w:bidi="ar"/>
              </w:rPr>
              <w:t>，罩棚水平投影面积120</w:t>
            </w:r>
            <w:r>
              <w:rPr>
                <w:rFonts w:hint="eastAsia" w:ascii="黑体" w:hAnsi="黑体" w:eastAsia="黑体" w:cs="黑体"/>
                <w:color w:val="000000"/>
                <w:sz w:val="21"/>
                <w:szCs w:val="21"/>
              </w:rPr>
              <w:t>m</w:t>
            </w:r>
            <w:r>
              <w:rPr>
                <w:rFonts w:hint="eastAsia" w:ascii="黑体" w:hAnsi="黑体" w:eastAsia="黑体" w:cs="黑体"/>
                <w:color w:val="000000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ascii="黑体" w:hAnsi="黑体" w:eastAsia="黑体" w:cs="黑体"/>
                <w:color w:val="000000"/>
                <w:kern w:val="0"/>
                <w:sz w:val="21"/>
                <w:szCs w:val="21"/>
                <w:lang w:val="en-US" w:eastAsia="zh-CN" w:bidi="ar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left"/>
              <w:textAlignment w:val="auto"/>
              <w:rPr>
                <w:rFonts w:hint="eastAsia"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 w:val="21"/>
                <w:szCs w:val="21"/>
              </w:rPr>
              <w:t>加油站</w:t>
            </w:r>
            <w:r>
              <w:rPr>
                <w:rFonts w:hint="eastAsia" w:ascii="黑体" w:hAnsi="黑体" w:eastAsia="黑体" w:cs="黑体"/>
                <w:color w:val="000000"/>
                <w:sz w:val="21"/>
                <w:szCs w:val="21"/>
                <w:lang w:val="en-US" w:eastAsia="zh-CN"/>
              </w:rPr>
              <w:t>共有3座埋地储罐</w:t>
            </w:r>
            <w:r>
              <w:rPr>
                <w:rFonts w:hint="eastAsia" w:ascii="黑体" w:hAnsi="黑体" w:eastAsia="黑体" w:cs="黑体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黑体" w:hAnsi="黑体" w:eastAsia="黑体" w:cs="黑体"/>
                <w:color w:val="000000"/>
                <w:sz w:val="21"/>
                <w:szCs w:val="21"/>
                <w:lang w:val="en-US" w:eastAsia="zh-CN"/>
              </w:rPr>
              <w:t>设置</w:t>
            </w:r>
            <w:r>
              <w:rPr>
                <w:rFonts w:hint="eastAsia" w:ascii="黑体" w:hAnsi="黑体" w:eastAsia="黑体" w:cs="黑体"/>
                <w:color w:val="000000"/>
                <w:kern w:val="0"/>
                <w:sz w:val="21"/>
                <w:szCs w:val="21"/>
                <w:lang w:val="en-US" w:eastAsia="zh-CN" w:bidi="ar"/>
              </w:rPr>
              <w:t>10</w:t>
            </w:r>
            <w:r>
              <w:rPr>
                <w:rFonts w:hint="eastAsia" w:ascii="黑体" w:hAnsi="黑体" w:eastAsia="黑体" w:cs="黑体"/>
                <w:sz w:val="21"/>
                <w:szCs w:val="21"/>
              </w:rPr>
              <w:t>m</w:t>
            </w:r>
            <w:r>
              <w:rPr>
                <w:rFonts w:hint="eastAsia" w:ascii="黑体" w:hAnsi="黑体" w:eastAsia="黑体" w:cs="黑体"/>
                <w:sz w:val="21"/>
                <w:szCs w:val="21"/>
                <w:vertAlign w:val="superscript"/>
              </w:rPr>
              <w:t>3</w:t>
            </w:r>
            <w:r>
              <w:rPr>
                <w:rFonts w:hint="eastAsia" w:ascii="黑体" w:hAnsi="黑体" w:eastAsia="黑体" w:cs="黑体"/>
                <w:color w:val="000000"/>
                <w:kern w:val="0"/>
                <w:sz w:val="21"/>
                <w:szCs w:val="21"/>
                <w:lang w:val="en-US" w:eastAsia="zh-CN" w:bidi="ar"/>
              </w:rPr>
              <w:t>双层SF汽油罐2座，15</w:t>
            </w:r>
            <w:r>
              <w:rPr>
                <w:rFonts w:hint="eastAsia" w:ascii="黑体" w:hAnsi="黑体" w:eastAsia="黑体" w:cs="黑体"/>
                <w:sz w:val="21"/>
                <w:szCs w:val="21"/>
              </w:rPr>
              <w:t>m</w:t>
            </w:r>
            <w:r>
              <w:rPr>
                <w:rFonts w:hint="eastAsia" w:ascii="黑体" w:hAnsi="黑体" w:eastAsia="黑体" w:cs="黑体"/>
                <w:sz w:val="21"/>
                <w:szCs w:val="21"/>
                <w:vertAlign w:val="superscript"/>
              </w:rPr>
              <w:t>3</w:t>
            </w:r>
            <w:r>
              <w:rPr>
                <w:rFonts w:hint="eastAsia" w:ascii="黑体" w:hAnsi="黑体" w:eastAsia="黑体" w:cs="黑体"/>
                <w:color w:val="000000"/>
                <w:kern w:val="0"/>
                <w:sz w:val="21"/>
                <w:szCs w:val="21"/>
                <w:lang w:val="en-US" w:eastAsia="zh-CN" w:bidi="ar"/>
              </w:rPr>
              <w:t>双层SF柴油罐1座</w:t>
            </w:r>
            <w:r>
              <w:rPr>
                <w:rFonts w:hint="eastAsia" w:ascii="黑体" w:hAnsi="黑体" w:eastAsia="黑体" w:cs="黑体"/>
                <w:sz w:val="21"/>
                <w:szCs w:val="21"/>
              </w:rPr>
              <w:t>。根据《汽车加油加气加氢站技术标准》（GB 50156-2021）第3.0.9条，柴油折半计算为</w:t>
            </w:r>
            <w:r>
              <w:rPr>
                <w:rFonts w:hint="eastAsia" w:ascii="黑体" w:hAnsi="黑体" w:eastAsia="黑体" w:cs="黑体"/>
                <w:sz w:val="21"/>
                <w:szCs w:val="21"/>
                <w:lang w:val="en-US" w:eastAsia="zh-CN"/>
              </w:rPr>
              <w:t>7.5</w:t>
            </w:r>
            <w:r>
              <w:rPr>
                <w:rFonts w:hint="eastAsia" w:ascii="黑体" w:hAnsi="黑体" w:eastAsia="黑体" w:cs="黑体"/>
                <w:sz w:val="21"/>
                <w:szCs w:val="21"/>
              </w:rPr>
              <w:t>m</w:t>
            </w:r>
            <w:r>
              <w:rPr>
                <w:rFonts w:hint="eastAsia" w:ascii="黑体" w:hAnsi="黑体" w:eastAsia="黑体" w:cs="黑体"/>
                <w:sz w:val="21"/>
                <w:szCs w:val="21"/>
                <w:vertAlign w:val="superscript"/>
              </w:rPr>
              <w:t>3</w:t>
            </w:r>
            <w:r>
              <w:rPr>
                <w:rFonts w:hint="eastAsia" w:ascii="黑体" w:hAnsi="黑体" w:eastAsia="黑体" w:cs="黑体"/>
                <w:sz w:val="21"/>
                <w:szCs w:val="21"/>
              </w:rPr>
              <w:t>，总容积为</w:t>
            </w:r>
            <w:r>
              <w:rPr>
                <w:rFonts w:hint="eastAsia" w:ascii="黑体" w:hAnsi="黑体" w:eastAsia="黑体" w:cs="黑体"/>
                <w:sz w:val="21"/>
                <w:szCs w:val="21"/>
                <w:lang w:val="en-US" w:eastAsia="zh-CN"/>
              </w:rPr>
              <w:t>27.5</w:t>
            </w:r>
            <w:r>
              <w:rPr>
                <w:rFonts w:hint="eastAsia" w:ascii="黑体" w:hAnsi="黑体" w:eastAsia="黑体" w:cs="黑体"/>
                <w:sz w:val="21"/>
                <w:szCs w:val="21"/>
              </w:rPr>
              <w:t>m</w:t>
            </w:r>
            <w:r>
              <w:rPr>
                <w:rFonts w:hint="eastAsia" w:ascii="黑体" w:hAnsi="黑体" w:eastAsia="黑体" w:cs="黑体"/>
                <w:sz w:val="21"/>
                <w:szCs w:val="21"/>
                <w:vertAlign w:val="superscript"/>
              </w:rPr>
              <w:t>3</w:t>
            </w:r>
            <w:r>
              <w:rPr>
                <w:rFonts w:hint="eastAsia" w:ascii="黑体" w:hAnsi="黑体" w:eastAsia="黑体" w:cs="黑体"/>
                <w:sz w:val="21"/>
                <w:szCs w:val="21"/>
              </w:rPr>
              <w:t>，该站属</w:t>
            </w:r>
            <w:r>
              <w:rPr>
                <w:rFonts w:hint="eastAsia" w:ascii="黑体" w:hAnsi="黑体" w:eastAsia="黑体" w:cs="黑体"/>
                <w:sz w:val="21"/>
                <w:szCs w:val="21"/>
                <w:lang w:val="en-US" w:eastAsia="zh-CN"/>
              </w:rPr>
              <w:t>三</w:t>
            </w:r>
            <w:r>
              <w:rPr>
                <w:rFonts w:hint="eastAsia" w:ascii="黑体" w:hAnsi="黑体" w:eastAsia="黑体" w:cs="黑体"/>
                <w:sz w:val="21"/>
                <w:szCs w:val="21"/>
              </w:rPr>
              <w:t>级加油站。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564" w:type="dxa"/>
            <w:vMerge w:val="restart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评价机构组及评价项目</w:t>
            </w:r>
          </w:p>
        </w:tc>
        <w:tc>
          <w:tcPr>
            <w:tcW w:w="2199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评价机构</w:t>
            </w:r>
          </w:p>
        </w:tc>
        <w:tc>
          <w:tcPr>
            <w:tcW w:w="2234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吉林省正光安全科技有限公司</w:t>
            </w:r>
          </w:p>
        </w:tc>
        <w:tc>
          <w:tcPr>
            <w:tcW w:w="1665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机构负责人</w:t>
            </w:r>
          </w:p>
        </w:tc>
        <w:tc>
          <w:tcPr>
            <w:tcW w:w="2336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易振环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564" w:type="dxa"/>
            <w:vMerge w:val="continue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</w:p>
        </w:tc>
        <w:tc>
          <w:tcPr>
            <w:tcW w:w="2199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技术负责人</w:t>
            </w:r>
          </w:p>
        </w:tc>
        <w:tc>
          <w:tcPr>
            <w:tcW w:w="2234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 w:eastAsia="黑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王玉平</w:t>
            </w:r>
          </w:p>
        </w:tc>
        <w:tc>
          <w:tcPr>
            <w:tcW w:w="1665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过程控制负责人</w:t>
            </w:r>
          </w:p>
        </w:tc>
        <w:tc>
          <w:tcPr>
            <w:tcW w:w="2336" w:type="dxa"/>
            <w:vAlign w:val="center"/>
          </w:tcPr>
          <w:p>
            <w:pPr>
              <w:pStyle w:val="15"/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蒲秀荣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  <w:jc w:val="center"/>
        </w:trPr>
        <w:tc>
          <w:tcPr>
            <w:tcW w:w="564" w:type="dxa"/>
            <w:vMerge w:val="continue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</w:p>
        </w:tc>
        <w:tc>
          <w:tcPr>
            <w:tcW w:w="2199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项目评价组长</w:t>
            </w:r>
          </w:p>
        </w:tc>
        <w:tc>
          <w:tcPr>
            <w:tcW w:w="2234" w:type="dxa"/>
            <w:vAlign w:val="center"/>
          </w:tcPr>
          <w:p>
            <w:pPr>
              <w:pStyle w:val="15"/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朱影</w:t>
            </w:r>
          </w:p>
        </w:tc>
        <w:tc>
          <w:tcPr>
            <w:tcW w:w="1665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报告编制人</w:t>
            </w:r>
          </w:p>
        </w:tc>
        <w:tc>
          <w:tcPr>
            <w:tcW w:w="2336" w:type="dxa"/>
            <w:vAlign w:val="center"/>
          </w:tcPr>
          <w:p>
            <w:pPr>
              <w:pStyle w:val="15"/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杨红余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564" w:type="dxa"/>
            <w:vMerge w:val="continue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</w:p>
        </w:tc>
        <w:tc>
          <w:tcPr>
            <w:tcW w:w="2199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报告审核人</w:t>
            </w:r>
          </w:p>
        </w:tc>
        <w:tc>
          <w:tcPr>
            <w:tcW w:w="2234" w:type="dxa"/>
            <w:vAlign w:val="center"/>
          </w:tcPr>
          <w:p>
            <w:pPr>
              <w:pStyle w:val="15"/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陈振芳</w:t>
            </w:r>
          </w:p>
        </w:tc>
        <w:tc>
          <w:tcPr>
            <w:tcW w:w="1665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项目安全评价师</w:t>
            </w:r>
          </w:p>
        </w:tc>
        <w:tc>
          <w:tcPr>
            <w:tcW w:w="2336" w:type="dxa"/>
            <w:vAlign w:val="center"/>
          </w:tcPr>
          <w:p>
            <w:pPr>
              <w:pStyle w:val="15"/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杨红余、冷兆国、杜东雷、郭宏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  <w:jc w:val="center"/>
        </w:trPr>
        <w:tc>
          <w:tcPr>
            <w:tcW w:w="564" w:type="dxa"/>
            <w:vMerge w:val="continue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</w:p>
        </w:tc>
        <w:tc>
          <w:tcPr>
            <w:tcW w:w="2199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参与评价工作的注册安全工程师、技术专家</w:t>
            </w:r>
          </w:p>
        </w:tc>
        <w:tc>
          <w:tcPr>
            <w:tcW w:w="6235" w:type="dxa"/>
            <w:gridSpan w:val="3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王玉平、朱影、杨红余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  <w:jc w:val="center"/>
        </w:trPr>
        <w:tc>
          <w:tcPr>
            <w:tcW w:w="564" w:type="dxa"/>
            <w:vMerge w:val="restart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评价活动主要信息</w:t>
            </w:r>
          </w:p>
        </w:tc>
        <w:tc>
          <w:tcPr>
            <w:tcW w:w="2199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签订合同时间</w:t>
            </w:r>
          </w:p>
        </w:tc>
        <w:tc>
          <w:tcPr>
            <w:tcW w:w="2234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eastAsia"/>
              </w:rPr>
              <w:t>月</w:t>
            </w:r>
          </w:p>
        </w:tc>
        <w:tc>
          <w:tcPr>
            <w:tcW w:w="1665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报告提交时间</w:t>
            </w:r>
          </w:p>
        </w:tc>
        <w:tc>
          <w:tcPr>
            <w:tcW w:w="2336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lang w:val="en-US" w:eastAsia="zh-CN"/>
              </w:rPr>
              <w:t>11</w:t>
            </w:r>
            <w:r>
              <w:rPr>
                <w:rFonts w:hint="eastAsia"/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  <w:jc w:val="center"/>
        </w:trPr>
        <w:tc>
          <w:tcPr>
            <w:tcW w:w="564" w:type="dxa"/>
            <w:vMerge w:val="continue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</w:p>
        </w:tc>
        <w:tc>
          <w:tcPr>
            <w:tcW w:w="2199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安全评价类型</w:t>
            </w:r>
          </w:p>
        </w:tc>
        <w:tc>
          <w:tcPr>
            <w:tcW w:w="6235" w:type="dxa"/>
            <w:gridSpan w:val="3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安全</w:t>
            </w:r>
            <w:r>
              <w:rPr>
                <w:rFonts w:hint="eastAsia"/>
                <w:lang w:val="en-US" w:eastAsia="zh-CN"/>
              </w:rPr>
              <w:t>现状评</w:t>
            </w:r>
            <w:r>
              <w:rPr>
                <w:rFonts w:hint="eastAsia"/>
              </w:rPr>
              <w:t>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564" w:type="dxa"/>
            <w:vMerge w:val="continue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</w:p>
        </w:tc>
        <w:tc>
          <w:tcPr>
            <w:tcW w:w="2199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到现场开展评价活动人员</w:t>
            </w:r>
          </w:p>
        </w:tc>
        <w:tc>
          <w:tcPr>
            <w:tcW w:w="6235" w:type="dxa"/>
            <w:gridSpan w:val="3"/>
            <w:vAlign w:val="center"/>
          </w:tcPr>
          <w:p>
            <w:pPr>
              <w:pStyle w:val="15"/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朱影、杨红余、杜东雷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564" w:type="dxa"/>
            <w:vMerge w:val="continue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</w:p>
        </w:tc>
        <w:tc>
          <w:tcPr>
            <w:tcW w:w="2199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到现场开展评价活动时间</w:t>
            </w:r>
          </w:p>
        </w:tc>
        <w:tc>
          <w:tcPr>
            <w:tcW w:w="6235" w:type="dxa"/>
            <w:gridSpan w:val="3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eastAsia"/>
              </w:rPr>
              <w:t>月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564" w:type="dxa"/>
            <w:vMerge w:val="continue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</w:p>
        </w:tc>
        <w:tc>
          <w:tcPr>
            <w:tcW w:w="2199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评价机构认为需要公开的其他信息</w:t>
            </w:r>
          </w:p>
        </w:tc>
        <w:tc>
          <w:tcPr>
            <w:tcW w:w="6235" w:type="dxa"/>
            <w:gridSpan w:val="3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atLeast"/>
          <w:jc w:val="center"/>
        </w:trPr>
        <w:tc>
          <w:tcPr>
            <w:tcW w:w="564" w:type="dxa"/>
            <w:vMerge w:val="continue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</w:p>
        </w:tc>
        <w:tc>
          <w:tcPr>
            <w:tcW w:w="2199" w:type="dxa"/>
            <w:vAlign w:val="center"/>
          </w:tcPr>
          <w:p>
            <w:pPr>
              <w:pStyle w:val="1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评价结论</w:t>
            </w:r>
          </w:p>
        </w:tc>
        <w:tc>
          <w:tcPr>
            <w:tcW w:w="6235" w:type="dxa"/>
            <w:gridSpan w:val="3"/>
            <w:vAlign w:val="center"/>
          </w:tcPr>
          <w:p>
            <w:pPr>
              <w:pStyle w:val="15"/>
              <w:bidi w:val="0"/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扶余市兴盛石油有限公司</w:t>
            </w:r>
            <w:r>
              <w:rPr>
                <w:rFonts w:hint="eastAsia" w:ascii="宋体" w:hAnsi="宋体"/>
                <w:sz w:val="21"/>
                <w:szCs w:val="21"/>
              </w:rPr>
              <w:t>符合国家的相关法律、法规、规程及标准的要求。该项目采用的工艺、设备设施及辅助工程安全条件满足安全经营要求，评价结论为具备安全条件，符合安全经营要求。</w:t>
            </w:r>
          </w:p>
        </w:tc>
      </w:tr>
    </w:tbl>
    <w:p>
      <w:pPr>
        <w:pStyle w:val="14"/>
        <w:bidi w:val="0"/>
        <w:jc w:val="both"/>
        <w:rPr>
          <w:rFonts w:hint="eastAsia"/>
        </w:rPr>
      </w:pPr>
      <w:r>
        <w:rPr>
          <w:rFonts w:hint="eastAsia"/>
        </w:rPr>
        <w:t>注：各机构一定如实填写，所有信息在日常检查、年度考核中均要核查。</w:t>
      </w:r>
    </w:p>
    <w:p>
      <w:pPr>
        <w:pStyle w:val="14"/>
        <w:bidi w:val="0"/>
        <w:jc w:val="both"/>
        <w:rPr>
          <w:rFonts w:hint="eastAsia"/>
        </w:rPr>
      </w:pPr>
      <w:r>
        <w:rPr>
          <w:rFonts w:hint="eastAsia"/>
        </w:rPr>
        <w:t>说明：为便于省局统计抓取信息，请统一用此电子表格填写上传、不得自行加行、加列、合并等。</w:t>
      </w:r>
      <w:r>
        <w:rPr>
          <w:rFonts w:hint="eastAsia"/>
        </w:rPr>
        <w:br w:type="page"/>
      </w:r>
    </w:p>
    <w:p>
      <w:pPr>
        <w:pStyle w:val="15"/>
        <w:rPr>
          <w:rFonts w:hint="eastAsia" w:eastAsiaTheme="minorEastAsia"/>
          <w:lang w:eastAsia="zh-CN"/>
        </w:rPr>
      </w:pPr>
    </w:p>
    <w:p>
      <w:pPr>
        <w:rPr>
          <w:rFonts w:hint="eastAsia" w:eastAsia="黑体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-129540</wp:posOffset>
            </wp:positionV>
            <wp:extent cx="5241290" cy="6988175"/>
            <wp:effectExtent l="0" t="0" r="1270" b="6985"/>
            <wp:wrapTopAndBottom/>
            <wp:docPr id="3" name="图片 3" descr="IMG2023111312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131223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黑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-255270</wp:posOffset>
            </wp:positionV>
            <wp:extent cx="4565650" cy="8116570"/>
            <wp:effectExtent l="0" t="0" r="6350" b="6350"/>
            <wp:wrapTopAndBottom/>
            <wp:docPr id="1" name="图片 1" descr="合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照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RlNzhhZjkwNjNiZDFmMGNhYThiMjBkNzFmNGYyN2EifQ=="/>
  </w:docVars>
  <w:rsids>
    <w:rsidRoot w:val="00000000"/>
    <w:rsid w:val="02A429BD"/>
    <w:rsid w:val="030159E3"/>
    <w:rsid w:val="03775FF9"/>
    <w:rsid w:val="05166C18"/>
    <w:rsid w:val="063C0977"/>
    <w:rsid w:val="06C47189"/>
    <w:rsid w:val="071579E5"/>
    <w:rsid w:val="07397B77"/>
    <w:rsid w:val="080433BC"/>
    <w:rsid w:val="08E43B13"/>
    <w:rsid w:val="0F2A7BDA"/>
    <w:rsid w:val="0F2E3D3A"/>
    <w:rsid w:val="0F3375A2"/>
    <w:rsid w:val="12CC7AF2"/>
    <w:rsid w:val="14140869"/>
    <w:rsid w:val="17164D2D"/>
    <w:rsid w:val="18B03A11"/>
    <w:rsid w:val="1A693E78"/>
    <w:rsid w:val="1B3B7B27"/>
    <w:rsid w:val="1B852F33"/>
    <w:rsid w:val="1C346708"/>
    <w:rsid w:val="1D7D5DE0"/>
    <w:rsid w:val="1E7B2211"/>
    <w:rsid w:val="1EB02E22"/>
    <w:rsid w:val="1EC73863"/>
    <w:rsid w:val="1F10002E"/>
    <w:rsid w:val="1FFB2D51"/>
    <w:rsid w:val="21B51F1E"/>
    <w:rsid w:val="22DF73CD"/>
    <w:rsid w:val="23E65109"/>
    <w:rsid w:val="23EA287A"/>
    <w:rsid w:val="266D75E2"/>
    <w:rsid w:val="26D62895"/>
    <w:rsid w:val="271B474C"/>
    <w:rsid w:val="2A9E7B6E"/>
    <w:rsid w:val="2AC1489B"/>
    <w:rsid w:val="2AFC6E37"/>
    <w:rsid w:val="2C243291"/>
    <w:rsid w:val="2CE521D2"/>
    <w:rsid w:val="2CFB1290"/>
    <w:rsid w:val="2D5704A8"/>
    <w:rsid w:val="2D8F7C42"/>
    <w:rsid w:val="2DE346CD"/>
    <w:rsid w:val="2F537F03"/>
    <w:rsid w:val="31C854D0"/>
    <w:rsid w:val="32FE07A2"/>
    <w:rsid w:val="33557238"/>
    <w:rsid w:val="3372736C"/>
    <w:rsid w:val="33D66026"/>
    <w:rsid w:val="344717FA"/>
    <w:rsid w:val="34BD32E6"/>
    <w:rsid w:val="366F6862"/>
    <w:rsid w:val="3CB84718"/>
    <w:rsid w:val="3CE86841"/>
    <w:rsid w:val="3D5D7285"/>
    <w:rsid w:val="3E4F4C24"/>
    <w:rsid w:val="3EFC2C5D"/>
    <w:rsid w:val="3F682B7F"/>
    <w:rsid w:val="406E36E7"/>
    <w:rsid w:val="40A53C4B"/>
    <w:rsid w:val="420A453A"/>
    <w:rsid w:val="43E73EDC"/>
    <w:rsid w:val="44254A04"/>
    <w:rsid w:val="45264B07"/>
    <w:rsid w:val="4918125D"/>
    <w:rsid w:val="49417BEA"/>
    <w:rsid w:val="4A3634C7"/>
    <w:rsid w:val="4CF0697B"/>
    <w:rsid w:val="4D317A90"/>
    <w:rsid w:val="4E140D38"/>
    <w:rsid w:val="4F0B3736"/>
    <w:rsid w:val="5055041F"/>
    <w:rsid w:val="50754EFD"/>
    <w:rsid w:val="510F32AA"/>
    <w:rsid w:val="516B2F3B"/>
    <w:rsid w:val="530C3017"/>
    <w:rsid w:val="53102632"/>
    <w:rsid w:val="54F44E62"/>
    <w:rsid w:val="569B408C"/>
    <w:rsid w:val="58134E48"/>
    <w:rsid w:val="58A352C2"/>
    <w:rsid w:val="591D7843"/>
    <w:rsid w:val="592F0FE5"/>
    <w:rsid w:val="5C4F0418"/>
    <w:rsid w:val="5CAA348D"/>
    <w:rsid w:val="5D7E0FB5"/>
    <w:rsid w:val="5D9937A8"/>
    <w:rsid w:val="5E4E2651"/>
    <w:rsid w:val="5EE17A4E"/>
    <w:rsid w:val="604F4314"/>
    <w:rsid w:val="60CC028A"/>
    <w:rsid w:val="61E360AA"/>
    <w:rsid w:val="636675A7"/>
    <w:rsid w:val="63FA510E"/>
    <w:rsid w:val="64BE2E12"/>
    <w:rsid w:val="64D16366"/>
    <w:rsid w:val="65C832A1"/>
    <w:rsid w:val="661B5E1C"/>
    <w:rsid w:val="66624FDA"/>
    <w:rsid w:val="671D539B"/>
    <w:rsid w:val="685E432C"/>
    <w:rsid w:val="68A513BA"/>
    <w:rsid w:val="6A6763FE"/>
    <w:rsid w:val="6B4F07CF"/>
    <w:rsid w:val="6B79100E"/>
    <w:rsid w:val="6DE00BB8"/>
    <w:rsid w:val="6DE276AB"/>
    <w:rsid w:val="6E0A5012"/>
    <w:rsid w:val="6F9E7295"/>
    <w:rsid w:val="705B310F"/>
    <w:rsid w:val="70820965"/>
    <w:rsid w:val="7135192B"/>
    <w:rsid w:val="7141437C"/>
    <w:rsid w:val="71C50B09"/>
    <w:rsid w:val="73274DAB"/>
    <w:rsid w:val="74145D78"/>
    <w:rsid w:val="74F87447"/>
    <w:rsid w:val="75B415C0"/>
    <w:rsid w:val="768E664E"/>
    <w:rsid w:val="76CC293A"/>
    <w:rsid w:val="770C71DA"/>
    <w:rsid w:val="77CD7905"/>
    <w:rsid w:val="78144598"/>
    <w:rsid w:val="78953C1C"/>
    <w:rsid w:val="7BFC781D"/>
    <w:rsid w:val="7D8E26F7"/>
    <w:rsid w:val="7D90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autoRedefine/>
    <w:qFormat/>
    <w:uiPriority w:val="0"/>
    <w:pPr>
      <w:keepNext/>
      <w:keepLines/>
      <w:pageBreakBefore/>
      <w:spacing w:before="50" w:beforeLines="50" w:beforeAutospacing="0" w:after="50" w:afterLines="50" w:afterAutospacing="0" w:line="560" w:lineRule="exact"/>
      <w:outlineLvl w:val="0"/>
    </w:pPr>
    <w:rPr>
      <w:rFonts w:ascii="Times New Roman" w:hAnsi="Times New Roman" w:eastAsia="宋体" w:cstheme="minorBidi"/>
      <w:b/>
      <w:bCs/>
      <w:kern w:val="44"/>
      <w:sz w:val="32"/>
      <w:szCs w:val="32"/>
    </w:rPr>
  </w:style>
  <w:style w:type="paragraph" w:styleId="3">
    <w:name w:val="heading 2"/>
    <w:next w:val="1"/>
    <w:autoRedefine/>
    <w:semiHidden/>
    <w:unhideWhenUsed/>
    <w:qFormat/>
    <w:uiPriority w:val="0"/>
    <w:pPr>
      <w:keepNext/>
      <w:keepLines/>
      <w:pageBreakBefore w:val="0"/>
      <w:spacing w:before="50" w:beforeLines="50" w:beforeAutospacing="0" w:after="50" w:afterLines="50" w:afterAutospacing="0" w:line="560" w:lineRule="exact"/>
      <w:outlineLvl w:val="1"/>
    </w:pPr>
    <w:rPr>
      <w:rFonts w:ascii="Times New Roman" w:hAnsi="Times New Roman" w:eastAsia="宋体" w:cstheme="minorBidi"/>
      <w:b/>
      <w:bCs/>
      <w:sz w:val="28"/>
      <w:szCs w:val="28"/>
    </w:rPr>
  </w:style>
  <w:style w:type="paragraph" w:styleId="4">
    <w:name w:val="heading 3"/>
    <w:next w:val="1"/>
    <w:autoRedefine/>
    <w:semiHidden/>
    <w:unhideWhenUsed/>
    <w:qFormat/>
    <w:uiPriority w:val="0"/>
    <w:pPr>
      <w:keepNext/>
      <w:keepLines/>
      <w:spacing w:before="50" w:beforeLines="50" w:beforeAutospacing="0" w:after="50" w:afterLines="50" w:afterAutospacing="0" w:line="560" w:lineRule="exact"/>
      <w:outlineLvl w:val="2"/>
    </w:pPr>
    <w:rPr>
      <w:rFonts w:ascii="Times New Roman" w:hAnsi="Times New Roman" w:eastAsia="宋体" w:cstheme="minorBidi"/>
      <w:b/>
      <w:bCs/>
      <w:sz w:val="28"/>
      <w:szCs w:val="28"/>
    </w:rPr>
  </w:style>
  <w:style w:type="paragraph" w:styleId="5">
    <w:name w:val="heading 4"/>
    <w:next w:val="1"/>
    <w:autoRedefine/>
    <w:semiHidden/>
    <w:unhideWhenUsed/>
    <w:qFormat/>
    <w:uiPriority w:val="0"/>
    <w:pPr>
      <w:keepNext/>
      <w:keepLines/>
      <w:spacing w:before="50" w:beforeLines="50" w:beforeAutospacing="0" w:after="50" w:afterLines="50" w:afterAutospacing="0" w:line="560" w:lineRule="exact"/>
      <w:outlineLvl w:val="3"/>
    </w:pPr>
    <w:rPr>
      <w:rFonts w:ascii="Times New Roman" w:hAnsi="Times New Roman" w:eastAsia="宋体" w:cstheme="minorBidi"/>
      <w:b/>
      <w:bCs/>
      <w:sz w:val="28"/>
      <w:szCs w:val="28"/>
    </w:rPr>
  </w:style>
  <w:style w:type="paragraph" w:styleId="6">
    <w:name w:val="heading 5"/>
    <w:next w:val="1"/>
    <w:autoRedefine/>
    <w:semiHidden/>
    <w:unhideWhenUsed/>
    <w:qFormat/>
    <w:uiPriority w:val="0"/>
    <w:pPr>
      <w:keepNext/>
      <w:keepLines/>
      <w:spacing w:before="50" w:beforeLines="50" w:beforeAutospacing="0" w:after="50" w:afterLines="50" w:afterAutospacing="0" w:line="560" w:lineRule="exact"/>
      <w:outlineLvl w:val="4"/>
    </w:pPr>
    <w:rPr>
      <w:rFonts w:ascii="Times New Roman" w:hAnsi="Times New Roman" w:eastAsia="宋体" w:cstheme="minorBidi"/>
      <w:b/>
      <w:bCs/>
      <w:sz w:val="28"/>
      <w:szCs w:val="28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autoRedefine/>
    <w:qFormat/>
    <w:uiPriority w:val="0"/>
    <w:pPr>
      <w:spacing w:after="120" w:afterLines="0" w:afterAutospacing="0"/>
    </w:pPr>
  </w:style>
  <w:style w:type="paragraph" w:styleId="8">
    <w:name w:val="footer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黑体" w:cstheme="minorBidi"/>
      <w:sz w:val="21"/>
      <w:szCs w:val="21"/>
    </w:rPr>
  </w:style>
  <w:style w:type="paragraph" w:styleId="9">
    <w:name w:val="header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rFonts w:ascii="Times New Roman" w:hAnsi="Times New Roman" w:eastAsia="黑体" w:cstheme="minorBidi"/>
      <w:sz w:val="21"/>
      <w:szCs w:val="21"/>
    </w:rPr>
  </w:style>
  <w:style w:type="paragraph" w:styleId="10">
    <w:name w:val="toc 1"/>
    <w:basedOn w:val="1"/>
    <w:next w:val="1"/>
    <w:autoRedefine/>
    <w:unhideWhenUsed/>
    <w:qFormat/>
    <w:uiPriority w:val="39"/>
    <w:pPr>
      <w:widowControl/>
      <w:tabs>
        <w:tab w:val="right" w:leader="dot" w:pos="8296"/>
      </w:tabs>
      <w:spacing w:after="100" w:line="276" w:lineRule="auto"/>
      <w:jc w:val="center"/>
    </w:pPr>
    <w:rPr>
      <w:rFonts w:ascii="宋体" w:hAnsi="宋体"/>
      <w:color w:val="000000"/>
      <w:w w:val="80"/>
      <w:kern w:val="0"/>
      <w:sz w:val="32"/>
      <w:szCs w:val="32"/>
    </w:rPr>
  </w:style>
  <w:style w:type="paragraph" w:styleId="11">
    <w:name w:val="Body Text First Indent"/>
    <w:basedOn w:val="1"/>
    <w:autoRedefine/>
    <w:qFormat/>
    <w:uiPriority w:val="0"/>
    <w:pPr>
      <w:ind w:firstLine="420" w:firstLineChars="100"/>
    </w:pPr>
  </w:style>
  <w:style w:type="paragraph" w:customStyle="1" w:styleId="14">
    <w:name w:val="表头"/>
    <w:next w:val="15"/>
    <w:autoRedefine/>
    <w:qFormat/>
    <w:uiPriority w:val="0"/>
    <w:pPr>
      <w:spacing w:before="50" w:beforeLines="50" w:after="50" w:afterLines="50"/>
      <w:jc w:val="center"/>
    </w:pPr>
    <w:rPr>
      <w:rFonts w:ascii="Times New Roman" w:hAnsi="Times New Roman" w:eastAsia="黑体" w:cstheme="minorBidi"/>
      <w:sz w:val="21"/>
      <w:szCs w:val="21"/>
    </w:rPr>
  </w:style>
  <w:style w:type="paragraph" w:customStyle="1" w:styleId="15">
    <w:name w:val="表格"/>
    <w:next w:val="1"/>
    <w:autoRedefine/>
    <w:qFormat/>
    <w:uiPriority w:val="0"/>
    <w:pPr>
      <w:jc w:val="left"/>
    </w:pPr>
    <w:rPr>
      <w:rFonts w:ascii="Times New Roman" w:hAnsi="Times New Roman" w:eastAsia="黑体" w:cstheme="minorBidi"/>
      <w:sz w:val="21"/>
      <w:szCs w:val="21"/>
    </w:rPr>
  </w:style>
  <w:style w:type="paragraph" w:customStyle="1" w:styleId="16">
    <w:name w:val="名称"/>
    <w:autoRedefine/>
    <w:qFormat/>
    <w:uiPriority w:val="0"/>
    <w:pPr>
      <w:spacing w:before="50" w:beforeLines="50" w:after="50" w:afterLines="50" w:line="560" w:lineRule="exact"/>
      <w:jc w:val="center"/>
    </w:pPr>
    <w:rPr>
      <w:rFonts w:ascii="宋体" w:hAnsi="宋体" w:eastAsia="宋体" w:cs="宋体"/>
      <w:b/>
      <w:bCs/>
      <w:sz w:val="44"/>
      <w:szCs w:val="44"/>
    </w:rPr>
  </w:style>
  <w:style w:type="paragraph" w:customStyle="1" w:styleId="17">
    <w:name w:val="报告"/>
    <w:next w:val="1"/>
    <w:autoRedefine/>
    <w:qFormat/>
    <w:uiPriority w:val="0"/>
    <w:pPr>
      <w:spacing w:before="50" w:beforeLines="50" w:after="50" w:afterLines="50" w:line="560" w:lineRule="exact"/>
      <w:jc w:val="center"/>
    </w:pPr>
    <w:rPr>
      <w:rFonts w:ascii="黑体" w:hAnsi="黑体" w:eastAsia="黑体" w:cs="黑体"/>
      <w:b/>
      <w:bCs/>
      <w:sz w:val="52"/>
      <w:szCs w:val="52"/>
    </w:rPr>
  </w:style>
  <w:style w:type="paragraph" w:customStyle="1" w:styleId="18">
    <w:name w:val="证书日期"/>
    <w:autoRedefine/>
    <w:qFormat/>
    <w:uiPriority w:val="0"/>
    <w:pPr>
      <w:spacing w:before="50" w:beforeLines="50" w:after="50" w:afterLines="50" w:line="560" w:lineRule="exact"/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19">
    <w:name w:val="内封名称"/>
    <w:autoRedefine/>
    <w:qFormat/>
    <w:uiPriority w:val="0"/>
    <w:pPr>
      <w:spacing w:before="50" w:beforeLines="50" w:after="50" w:afterLines="50" w:line="560" w:lineRule="exact"/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20">
    <w:name w:val="内封报告"/>
    <w:autoRedefine/>
    <w:qFormat/>
    <w:uiPriority w:val="0"/>
    <w:pPr>
      <w:spacing w:before="50" w:beforeLines="50" w:after="50" w:afterLines="50" w:line="560" w:lineRule="exact"/>
      <w:jc w:val="center"/>
    </w:pPr>
    <w:rPr>
      <w:rFonts w:ascii="宋体" w:hAnsi="宋体" w:eastAsia="宋体" w:cs="宋体"/>
      <w:b/>
      <w:bCs/>
      <w:sz w:val="44"/>
      <w:szCs w:val="44"/>
    </w:rPr>
  </w:style>
  <w:style w:type="paragraph" w:customStyle="1" w:styleId="21">
    <w:name w:val="内封人"/>
    <w:autoRedefine/>
    <w:qFormat/>
    <w:uiPriority w:val="0"/>
    <w:pPr>
      <w:spacing w:before="50" w:beforeLines="50" w:after="50" w:afterLines="50" w:line="560" w:lineRule="exact"/>
      <w:jc w:val="center"/>
    </w:pPr>
    <w:rPr>
      <w:rFonts w:ascii="宋体" w:hAnsi="宋体" w:eastAsia="宋体" w:cs="宋体"/>
      <w:sz w:val="28"/>
      <w:szCs w:val="28"/>
    </w:rPr>
  </w:style>
  <w:style w:type="paragraph" w:customStyle="1" w:styleId="22">
    <w:name w:val="内封日期"/>
    <w:autoRedefine/>
    <w:qFormat/>
    <w:uiPriority w:val="0"/>
    <w:pPr>
      <w:spacing w:before="50" w:beforeLines="50" w:after="50" w:afterLines="50" w:line="560" w:lineRule="exact"/>
      <w:jc w:val="center"/>
    </w:pPr>
    <w:rPr>
      <w:rFonts w:ascii="宋体" w:hAnsi="宋体" w:eastAsia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2021-04-01T07:21:00Z</dcterms:created>
  <dc:creator>14279</dc:creator>
  <cp:lastModifiedBy>史义族</cp:lastModifiedBy>
  <cp:lastPrinted>2021-05-11T01:06:00Z</cp:lastPrinted>
  <dcterms:modified xsi:type="dcterms:W3CDTF">2024-01-30T06:39:42Z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81EB4435353A4D7B9A89B4991E7F6930</vt:lpwstr>
  </property>
</Properties>
</file>