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156" w:after="156"/>
      </w:pPr>
      <w:r>
        <w:rPr>
          <w:rFonts w:hint="eastAsia"/>
        </w:rPr>
        <w:t>辽源盛东能源销售有限公司辽源盛东油气站安全现状评价公示表</w:t>
      </w:r>
    </w:p>
    <w:tbl>
      <w:tblPr>
        <w:tblStyle w:val="12"/>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190"/>
        <w:gridCol w:w="2225"/>
        <w:gridCol w:w="1659"/>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pStyle w:val="15"/>
            </w:pPr>
            <w:r>
              <w:rPr>
                <w:rFonts w:hint="eastAsia"/>
              </w:rPr>
              <w:t>项目概况</w:t>
            </w:r>
          </w:p>
        </w:tc>
        <w:tc>
          <w:tcPr>
            <w:tcW w:w="2190" w:type="dxa"/>
            <w:vAlign w:val="center"/>
          </w:tcPr>
          <w:p>
            <w:pPr>
              <w:pStyle w:val="15"/>
            </w:pPr>
            <w:r>
              <w:rPr>
                <w:rFonts w:hint="eastAsia"/>
              </w:rPr>
              <w:t>项目名称</w:t>
            </w:r>
          </w:p>
        </w:tc>
        <w:tc>
          <w:tcPr>
            <w:tcW w:w="2225" w:type="dxa"/>
            <w:vAlign w:val="center"/>
          </w:tcPr>
          <w:p>
            <w:pPr>
              <w:pStyle w:val="15"/>
            </w:pPr>
            <w:r>
              <w:rPr>
                <w:rFonts w:hint="eastAsia"/>
              </w:rPr>
              <w:t>辽源盛东能源销售有限公司辽源盛东油气站安全现状评价</w:t>
            </w:r>
          </w:p>
        </w:tc>
        <w:tc>
          <w:tcPr>
            <w:tcW w:w="1659" w:type="dxa"/>
            <w:vAlign w:val="center"/>
          </w:tcPr>
          <w:p>
            <w:pPr>
              <w:pStyle w:val="15"/>
            </w:pPr>
            <w:r>
              <w:rPr>
                <w:rFonts w:hint="eastAsia"/>
              </w:rPr>
              <w:t>行业类别</w:t>
            </w:r>
          </w:p>
        </w:tc>
        <w:tc>
          <w:tcPr>
            <w:tcW w:w="2327" w:type="dxa"/>
            <w:vAlign w:val="center"/>
          </w:tcPr>
          <w:p>
            <w:pPr>
              <w:pStyle w:val="15"/>
            </w:pPr>
            <w:r>
              <w:rPr>
                <w:rFonts w:hint="eastAsia"/>
              </w:rPr>
              <w:t>成品油零售业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5"/>
            </w:pPr>
          </w:p>
        </w:tc>
        <w:tc>
          <w:tcPr>
            <w:tcW w:w="2190" w:type="dxa"/>
            <w:vAlign w:val="center"/>
          </w:tcPr>
          <w:p>
            <w:pPr>
              <w:pStyle w:val="15"/>
            </w:pPr>
            <w:r>
              <w:rPr>
                <w:rFonts w:hint="eastAsia"/>
              </w:rPr>
              <w:t>项目业主</w:t>
            </w:r>
          </w:p>
        </w:tc>
        <w:tc>
          <w:tcPr>
            <w:tcW w:w="2225" w:type="dxa"/>
            <w:vAlign w:val="center"/>
          </w:tcPr>
          <w:p>
            <w:pPr>
              <w:pStyle w:val="15"/>
            </w:pPr>
            <w:r>
              <w:rPr>
                <w:rFonts w:hint="eastAsia"/>
              </w:rPr>
              <w:t>唐亮</w:t>
            </w:r>
          </w:p>
        </w:tc>
        <w:tc>
          <w:tcPr>
            <w:tcW w:w="1659" w:type="dxa"/>
            <w:vAlign w:val="center"/>
          </w:tcPr>
          <w:p>
            <w:pPr>
              <w:pStyle w:val="15"/>
            </w:pPr>
            <w:r>
              <w:rPr>
                <w:rFonts w:hint="eastAsia"/>
              </w:rPr>
              <w:t>项目性质</w:t>
            </w:r>
          </w:p>
        </w:tc>
        <w:tc>
          <w:tcPr>
            <w:tcW w:w="2327" w:type="dxa"/>
            <w:vAlign w:val="center"/>
          </w:tcPr>
          <w:p>
            <w:pPr>
              <w:pStyle w:val="15"/>
            </w:pPr>
            <w:r>
              <w:rPr>
                <w:rFonts w:hint="eastAsia"/>
              </w:rPr>
              <w:t>安全现状评价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5"/>
            </w:pPr>
          </w:p>
        </w:tc>
        <w:tc>
          <w:tcPr>
            <w:tcW w:w="2190" w:type="dxa"/>
            <w:vAlign w:val="center"/>
          </w:tcPr>
          <w:p>
            <w:pPr>
              <w:pStyle w:val="15"/>
            </w:pPr>
            <w:r>
              <w:rPr>
                <w:rFonts w:hint="eastAsia"/>
              </w:rPr>
              <w:t>项目地址</w:t>
            </w:r>
          </w:p>
        </w:tc>
        <w:tc>
          <w:tcPr>
            <w:tcW w:w="6211" w:type="dxa"/>
            <w:gridSpan w:val="3"/>
            <w:vAlign w:val="center"/>
          </w:tcPr>
          <w:p>
            <w:pPr>
              <w:pStyle w:val="15"/>
            </w:pPr>
            <w:r>
              <w:rPr>
                <w:rFonts w:hint="eastAsia"/>
                <w:szCs w:val="28"/>
              </w:rPr>
              <w:t>辽源市龙山区寿山镇国庆村4组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5"/>
            </w:pPr>
          </w:p>
        </w:tc>
        <w:tc>
          <w:tcPr>
            <w:tcW w:w="2190" w:type="dxa"/>
            <w:vAlign w:val="center"/>
          </w:tcPr>
          <w:p>
            <w:pPr>
              <w:pStyle w:val="15"/>
            </w:pPr>
            <w:r>
              <w:rPr>
                <w:rFonts w:hint="eastAsia"/>
              </w:rPr>
              <w:t>项目简介</w:t>
            </w:r>
          </w:p>
        </w:tc>
        <w:tc>
          <w:tcPr>
            <w:tcW w:w="6211" w:type="dxa"/>
            <w:gridSpan w:val="3"/>
            <w:vAlign w:val="center"/>
          </w:tcPr>
          <w:p>
            <w:pPr>
              <w:ind w:firstLine="371" w:firstLineChars="177"/>
              <w:rPr>
                <w:rFonts w:ascii="Times New Roman" w:hAnsi="Times New Roman" w:eastAsia="黑体" w:cstheme="minorBidi"/>
                <w:kern w:val="0"/>
                <w:szCs w:val="21"/>
              </w:rPr>
            </w:pPr>
            <w:r>
              <w:rPr>
                <w:rFonts w:hint="eastAsia" w:ascii="Times New Roman" w:hAnsi="Times New Roman" w:eastAsia="黑体" w:cstheme="minorBidi"/>
                <w:kern w:val="0"/>
                <w:szCs w:val="21"/>
              </w:rPr>
              <w:t>辽源盛东能源销售有限公司辽源盛东油气站</w:t>
            </w:r>
            <w:r>
              <w:rPr>
                <w:rFonts w:ascii="Times New Roman" w:hAnsi="Times New Roman" w:eastAsia="黑体" w:cstheme="minorBidi"/>
                <w:kern w:val="0"/>
                <w:szCs w:val="21"/>
              </w:rPr>
              <w:t>规模：占地面积4595</w:t>
            </w:r>
            <w:r>
              <w:rPr>
                <w:rFonts w:hint="eastAsia" w:ascii="Times New Roman" w:hAnsi="Times New Roman" w:eastAsia="黑体" w:cstheme="minorBidi"/>
                <w:kern w:val="0"/>
                <w:szCs w:val="21"/>
              </w:rPr>
              <w:t>m2</w:t>
            </w:r>
            <w:r>
              <w:rPr>
                <w:rFonts w:ascii="Times New Roman" w:hAnsi="Times New Roman" w:eastAsia="黑体" w:cstheme="minorBidi"/>
                <w:kern w:val="0"/>
                <w:szCs w:val="21"/>
              </w:rPr>
              <w:t>，站房</w:t>
            </w:r>
            <w:r>
              <w:rPr>
                <w:rFonts w:hint="eastAsia" w:ascii="Times New Roman" w:hAnsi="Times New Roman" w:eastAsia="黑体" w:cstheme="minorBidi"/>
                <w:kern w:val="0"/>
                <w:szCs w:val="21"/>
              </w:rPr>
              <w:t>占地</w:t>
            </w:r>
            <w:r>
              <w:rPr>
                <w:rFonts w:ascii="Times New Roman" w:hAnsi="Times New Roman" w:eastAsia="黑体" w:cstheme="minorBidi"/>
                <w:kern w:val="0"/>
                <w:szCs w:val="21"/>
              </w:rPr>
              <w:t>面积162</w:t>
            </w:r>
            <w:r>
              <w:rPr>
                <w:rFonts w:hint="eastAsia" w:ascii="Times New Roman" w:hAnsi="Times New Roman" w:eastAsia="黑体" w:cstheme="minorBidi"/>
                <w:kern w:val="0"/>
                <w:szCs w:val="21"/>
              </w:rPr>
              <w:t>m2</w:t>
            </w:r>
            <w:r>
              <w:rPr>
                <w:rFonts w:ascii="Times New Roman" w:hAnsi="Times New Roman" w:eastAsia="黑体" w:cstheme="minorBidi"/>
                <w:kern w:val="0"/>
                <w:szCs w:val="21"/>
              </w:rPr>
              <w:t>，罩棚投影面积864</w:t>
            </w:r>
            <w:r>
              <w:rPr>
                <w:rFonts w:hint="eastAsia" w:ascii="Times New Roman" w:hAnsi="Times New Roman" w:eastAsia="黑体" w:cstheme="minorBidi"/>
                <w:kern w:val="0"/>
                <w:szCs w:val="21"/>
              </w:rPr>
              <w:t>m2</w:t>
            </w:r>
            <w:r>
              <w:rPr>
                <w:rFonts w:ascii="Times New Roman" w:hAnsi="Times New Roman" w:eastAsia="黑体" w:cstheme="minorBidi"/>
                <w:kern w:val="0"/>
                <w:szCs w:val="21"/>
              </w:rPr>
              <w:t>。</w:t>
            </w:r>
          </w:p>
          <w:p>
            <w:pPr>
              <w:ind w:firstLine="371" w:firstLineChars="177"/>
              <w:rPr>
                <w:rFonts w:hint="eastAsia" w:ascii="Times New Roman" w:hAnsi="Times New Roman" w:eastAsia="黑体" w:cstheme="minorBidi"/>
                <w:kern w:val="0"/>
                <w:szCs w:val="21"/>
              </w:rPr>
            </w:pPr>
            <w:r>
              <w:rPr>
                <w:rFonts w:hint="eastAsia" w:ascii="Times New Roman" w:hAnsi="Times New Roman" w:eastAsia="黑体" w:cstheme="minorBidi"/>
                <w:kern w:val="0"/>
                <w:szCs w:val="21"/>
              </w:rPr>
              <w:t>该</w:t>
            </w:r>
            <w:r>
              <w:rPr>
                <w:rFonts w:ascii="Times New Roman" w:hAnsi="Times New Roman" w:eastAsia="黑体" w:cstheme="minorBidi"/>
                <w:kern w:val="0"/>
                <w:szCs w:val="21"/>
              </w:rPr>
              <w:t>加油站现有4个</w:t>
            </w:r>
            <w:r>
              <w:rPr>
                <w:rFonts w:hint="eastAsia" w:ascii="Times New Roman" w:hAnsi="Times New Roman" w:eastAsia="黑体" w:cstheme="minorBidi"/>
                <w:kern w:val="0"/>
                <w:szCs w:val="21"/>
              </w:rPr>
              <w:t>双层S</w:t>
            </w:r>
            <w:r>
              <w:rPr>
                <w:rFonts w:ascii="Times New Roman" w:hAnsi="Times New Roman" w:eastAsia="黑体" w:cstheme="minorBidi"/>
                <w:kern w:val="0"/>
                <w:szCs w:val="21"/>
              </w:rPr>
              <w:t>F</w:t>
            </w:r>
            <w:r>
              <w:rPr>
                <w:rFonts w:hint="eastAsia" w:ascii="Times New Roman" w:hAnsi="Times New Roman" w:eastAsia="黑体" w:cstheme="minorBidi"/>
                <w:kern w:val="0"/>
                <w:szCs w:val="21"/>
              </w:rPr>
              <w:t>埋地储罐</w:t>
            </w:r>
            <w:r>
              <w:rPr>
                <w:rFonts w:ascii="Times New Roman" w:hAnsi="Times New Roman" w:eastAsia="黑体" w:cstheme="minorBidi"/>
                <w:kern w:val="0"/>
                <w:szCs w:val="21"/>
              </w:rPr>
              <w:t>，其中包括2个3</w:t>
            </w:r>
            <w:r>
              <w:rPr>
                <w:rFonts w:hint="eastAsia" w:ascii="Times New Roman" w:hAnsi="Times New Roman" w:eastAsia="黑体" w:cstheme="minorBidi"/>
                <w:kern w:val="0"/>
                <w:szCs w:val="21"/>
              </w:rPr>
              <w:t>0</w:t>
            </w:r>
            <w:r>
              <w:rPr>
                <w:rFonts w:ascii="Times New Roman" w:hAnsi="Times New Roman" w:eastAsia="黑体" w:cstheme="minorBidi"/>
                <w:kern w:val="0"/>
                <w:szCs w:val="21"/>
              </w:rPr>
              <w:t>m³柴油罐、</w:t>
            </w:r>
            <w:r>
              <w:rPr>
                <w:rFonts w:hint="eastAsia" w:ascii="Times New Roman" w:hAnsi="Times New Roman" w:eastAsia="黑体" w:cstheme="minorBidi"/>
                <w:kern w:val="0"/>
                <w:szCs w:val="21"/>
              </w:rPr>
              <w:t>2</w:t>
            </w:r>
            <w:r>
              <w:rPr>
                <w:rFonts w:ascii="Times New Roman" w:hAnsi="Times New Roman" w:eastAsia="黑体" w:cstheme="minorBidi"/>
                <w:kern w:val="0"/>
                <w:szCs w:val="21"/>
              </w:rPr>
              <w:t>个</w:t>
            </w:r>
            <w:r>
              <w:rPr>
                <w:rFonts w:hint="eastAsia" w:ascii="Times New Roman" w:hAnsi="Times New Roman" w:eastAsia="黑体" w:cstheme="minorBidi"/>
                <w:kern w:val="0"/>
                <w:szCs w:val="21"/>
              </w:rPr>
              <w:t>30</w:t>
            </w:r>
            <w:r>
              <w:rPr>
                <w:rFonts w:ascii="Times New Roman" w:hAnsi="Times New Roman" w:eastAsia="黑体" w:cstheme="minorBidi"/>
                <w:kern w:val="0"/>
                <w:szCs w:val="21"/>
              </w:rPr>
              <w:t>m³乙醇汽油储罐。根据《汽车加油加气加氢站技术标准》（GB 50156-2021）第3.0.9条，柴油折半计算为30m3，总容积为90m3，</w:t>
            </w:r>
            <w:r>
              <w:rPr>
                <w:rFonts w:hint="eastAsia" w:ascii="Times New Roman" w:hAnsi="Times New Roman" w:eastAsia="黑体" w:cstheme="minorBidi"/>
                <w:kern w:val="0"/>
                <w:szCs w:val="21"/>
              </w:rPr>
              <w:t>该加油站</w:t>
            </w:r>
            <w:r>
              <w:rPr>
                <w:rFonts w:ascii="Times New Roman" w:hAnsi="Times New Roman" w:eastAsia="黑体" w:cstheme="minorBidi"/>
                <w:kern w:val="0"/>
                <w:szCs w:val="21"/>
              </w:rPr>
              <w:t>属</w:t>
            </w:r>
            <w:r>
              <w:rPr>
                <w:rFonts w:hint="eastAsia" w:ascii="Times New Roman" w:hAnsi="Times New Roman" w:eastAsia="黑体" w:cstheme="minorBidi"/>
                <w:kern w:val="0"/>
                <w:szCs w:val="21"/>
              </w:rPr>
              <w:t>三</w:t>
            </w:r>
            <w:r>
              <w:rPr>
                <w:rFonts w:ascii="Times New Roman" w:hAnsi="Times New Roman" w:eastAsia="黑体" w:cstheme="minorBidi"/>
                <w:kern w:val="0"/>
                <w:szCs w:val="21"/>
              </w:rPr>
              <w:t>级加油站。</w:t>
            </w:r>
          </w:p>
          <w:p>
            <w:pPr>
              <w:pStyle w:val="15"/>
            </w:pPr>
            <w:r>
              <w:rPr>
                <w:rFonts w:hint="eastAsia"/>
              </w:rPr>
              <w:t>加油站</w:t>
            </w:r>
            <w:r>
              <w:rPr>
                <w:rFonts w:hint="eastAsia"/>
                <w:szCs w:val="28"/>
              </w:rPr>
              <w:t>加油站西侧为外环路和架空电力线（杆高1</w:t>
            </w:r>
            <w:r>
              <w:rPr>
                <w:szCs w:val="28"/>
              </w:rPr>
              <w:t>0</w:t>
            </w:r>
            <w:r>
              <w:rPr>
                <w:rFonts w:hint="eastAsia"/>
                <w:szCs w:val="28"/>
              </w:rPr>
              <w:t>米），外环路西侧为商混站；南侧为民房及民房烟囱，仓库（丙类）；东侧为箱式变压器，</w:t>
            </w:r>
            <w:r>
              <w:rPr>
                <w:rFonts w:hint="eastAsia"/>
              </w:rPr>
              <w:t>东北侧</w:t>
            </w:r>
            <w:r>
              <w:rPr>
                <w:rFonts w:hint="eastAsia"/>
                <w:szCs w:val="28"/>
              </w:rPr>
              <w:t>为民房及民房烟囱，北侧为空地</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pStyle w:val="15"/>
            </w:pPr>
            <w:r>
              <w:rPr>
                <w:rFonts w:hint="eastAsia"/>
              </w:rPr>
              <w:t>评价机构组及评价项目</w:t>
            </w:r>
          </w:p>
        </w:tc>
        <w:tc>
          <w:tcPr>
            <w:tcW w:w="2190" w:type="dxa"/>
            <w:vAlign w:val="center"/>
          </w:tcPr>
          <w:p>
            <w:pPr>
              <w:pStyle w:val="15"/>
            </w:pPr>
            <w:r>
              <w:rPr>
                <w:rFonts w:hint="eastAsia"/>
              </w:rPr>
              <w:t>评价机构</w:t>
            </w:r>
          </w:p>
        </w:tc>
        <w:tc>
          <w:tcPr>
            <w:tcW w:w="2225" w:type="dxa"/>
            <w:vAlign w:val="center"/>
          </w:tcPr>
          <w:p>
            <w:pPr>
              <w:pStyle w:val="15"/>
            </w:pPr>
            <w:r>
              <w:rPr>
                <w:rFonts w:hint="eastAsia"/>
              </w:rPr>
              <w:t>吉林省正光安全科技有限公司</w:t>
            </w:r>
          </w:p>
        </w:tc>
        <w:tc>
          <w:tcPr>
            <w:tcW w:w="1659" w:type="dxa"/>
            <w:vAlign w:val="center"/>
          </w:tcPr>
          <w:p>
            <w:pPr>
              <w:pStyle w:val="15"/>
            </w:pPr>
            <w:r>
              <w:rPr>
                <w:rFonts w:hint="eastAsia"/>
              </w:rPr>
              <w:t>机构负责人</w:t>
            </w:r>
          </w:p>
        </w:tc>
        <w:tc>
          <w:tcPr>
            <w:tcW w:w="2327" w:type="dxa"/>
            <w:vAlign w:val="center"/>
          </w:tcPr>
          <w:p>
            <w:pPr>
              <w:pStyle w:val="15"/>
            </w:pPr>
            <w:r>
              <w:rPr>
                <w:rFonts w:hint="eastAsia"/>
              </w:rPr>
              <w:t>易振环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5"/>
            </w:pPr>
          </w:p>
        </w:tc>
        <w:tc>
          <w:tcPr>
            <w:tcW w:w="2190" w:type="dxa"/>
            <w:vAlign w:val="center"/>
          </w:tcPr>
          <w:p>
            <w:pPr>
              <w:pStyle w:val="15"/>
            </w:pPr>
            <w:r>
              <w:rPr>
                <w:rFonts w:hint="eastAsia"/>
              </w:rPr>
              <w:t>技术负责人</w:t>
            </w:r>
          </w:p>
        </w:tc>
        <w:tc>
          <w:tcPr>
            <w:tcW w:w="2225" w:type="dxa"/>
            <w:vAlign w:val="center"/>
          </w:tcPr>
          <w:p>
            <w:pPr>
              <w:pStyle w:val="15"/>
            </w:pPr>
            <w:r>
              <w:rPr>
                <w:rFonts w:hint="eastAsia"/>
              </w:rPr>
              <w:t>王玉平</w:t>
            </w:r>
          </w:p>
        </w:tc>
        <w:tc>
          <w:tcPr>
            <w:tcW w:w="1659" w:type="dxa"/>
            <w:vAlign w:val="center"/>
          </w:tcPr>
          <w:p>
            <w:pPr>
              <w:pStyle w:val="15"/>
            </w:pPr>
            <w:r>
              <w:rPr>
                <w:rFonts w:hint="eastAsia"/>
              </w:rPr>
              <w:t>过程控制负责人</w:t>
            </w:r>
          </w:p>
        </w:tc>
        <w:tc>
          <w:tcPr>
            <w:tcW w:w="2327" w:type="dxa"/>
            <w:vAlign w:val="center"/>
          </w:tcPr>
          <w:p>
            <w:pPr>
              <w:pStyle w:val="15"/>
            </w:pPr>
            <w:r>
              <w:rPr>
                <w:rFonts w:hint="eastAsia"/>
              </w:rPr>
              <w:t>蒲秀荣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5"/>
            </w:pPr>
          </w:p>
        </w:tc>
        <w:tc>
          <w:tcPr>
            <w:tcW w:w="2190" w:type="dxa"/>
            <w:vAlign w:val="center"/>
          </w:tcPr>
          <w:p>
            <w:pPr>
              <w:pStyle w:val="15"/>
            </w:pPr>
            <w:r>
              <w:rPr>
                <w:rFonts w:hint="eastAsia"/>
              </w:rPr>
              <w:t>项目评价组长</w:t>
            </w:r>
          </w:p>
        </w:tc>
        <w:tc>
          <w:tcPr>
            <w:tcW w:w="2225" w:type="dxa"/>
            <w:vAlign w:val="center"/>
          </w:tcPr>
          <w:p>
            <w:pPr>
              <w:pStyle w:val="15"/>
            </w:pPr>
            <w:r>
              <w:rPr>
                <w:rFonts w:hint="eastAsia"/>
              </w:rPr>
              <w:t>朱影</w:t>
            </w:r>
          </w:p>
        </w:tc>
        <w:tc>
          <w:tcPr>
            <w:tcW w:w="1659" w:type="dxa"/>
            <w:vAlign w:val="center"/>
          </w:tcPr>
          <w:p>
            <w:pPr>
              <w:pStyle w:val="15"/>
            </w:pPr>
            <w:r>
              <w:rPr>
                <w:rFonts w:hint="eastAsia"/>
              </w:rPr>
              <w:t>报告编制人</w:t>
            </w:r>
          </w:p>
        </w:tc>
        <w:tc>
          <w:tcPr>
            <w:tcW w:w="2327" w:type="dxa"/>
            <w:vAlign w:val="center"/>
          </w:tcPr>
          <w:p>
            <w:pPr>
              <w:pStyle w:val="15"/>
            </w:pPr>
            <w:r>
              <w:rPr>
                <w:rFonts w:hint="eastAsia"/>
              </w:rPr>
              <w:t>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5"/>
            </w:pPr>
          </w:p>
        </w:tc>
        <w:tc>
          <w:tcPr>
            <w:tcW w:w="2190" w:type="dxa"/>
            <w:vAlign w:val="center"/>
          </w:tcPr>
          <w:p>
            <w:pPr>
              <w:pStyle w:val="15"/>
            </w:pPr>
            <w:r>
              <w:rPr>
                <w:rFonts w:hint="eastAsia"/>
              </w:rPr>
              <w:t>报告审核人</w:t>
            </w:r>
          </w:p>
        </w:tc>
        <w:tc>
          <w:tcPr>
            <w:tcW w:w="2225" w:type="dxa"/>
            <w:vAlign w:val="center"/>
          </w:tcPr>
          <w:p>
            <w:pPr>
              <w:pStyle w:val="15"/>
            </w:pPr>
            <w:r>
              <w:rPr>
                <w:rFonts w:hint="eastAsia"/>
              </w:rPr>
              <w:t>陈振芳</w:t>
            </w:r>
          </w:p>
        </w:tc>
        <w:tc>
          <w:tcPr>
            <w:tcW w:w="1659" w:type="dxa"/>
            <w:vAlign w:val="center"/>
          </w:tcPr>
          <w:p>
            <w:pPr>
              <w:pStyle w:val="15"/>
            </w:pPr>
            <w:r>
              <w:rPr>
                <w:rFonts w:hint="eastAsia"/>
              </w:rPr>
              <w:t>项目安全评价师</w:t>
            </w:r>
          </w:p>
        </w:tc>
        <w:tc>
          <w:tcPr>
            <w:tcW w:w="2327" w:type="dxa"/>
            <w:vAlign w:val="center"/>
          </w:tcPr>
          <w:p>
            <w:pPr>
              <w:pStyle w:val="15"/>
            </w:pPr>
            <w:r>
              <w:rPr>
                <w:rFonts w:hint="eastAsia"/>
              </w:rPr>
              <w:t>朱影、崔译文、冷兆国、何流、郭宏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5"/>
            </w:pPr>
          </w:p>
        </w:tc>
        <w:tc>
          <w:tcPr>
            <w:tcW w:w="2190" w:type="dxa"/>
            <w:vAlign w:val="center"/>
          </w:tcPr>
          <w:p>
            <w:pPr>
              <w:pStyle w:val="15"/>
            </w:pPr>
            <w:r>
              <w:rPr>
                <w:rFonts w:hint="eastAsia"/>
              </w:rPr>
              <w:t>参与评价工作的注册安全工程师、技术专家</w:t>
            </w:r>
          </w:p>
        </w:tc>
        <w:tc>
          <w:tcPr>
            <w:tcW w:w="6211" w:type="dxa"/>
            <w:gridSpan w:val="3"/>
            <w:vAlign w:val="center"/>
          </w:tcPr>
          <w:p>
            <w:pPr>
              <w:pStyle w:val="1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pStyle w:val="15"/>
            </w:pPr>
            <w:r>
              <w:rPr>
                <w:rFonts w:hint="eastAsia"/>
              </w:rPr>
              <w:t>评价活动主要信息</w:t>
            </w:r>
          </w:p>
        </w:tc>
        <w:tc>
          <w:tcPr>
            <w:tcW w:w="2190" w:type="dxa"/>
            <w:vAlign w:val="center"/>
          </w:tcPr>
          <w:p>
            <w:pPr>
              <w:pStyle w:val="15"/>
            </w:pPr>
            <w:r>
              <w:rPr>
                <w:rFonts w:hint="eastAsia"/>
              </w:rPr>
              <w:t>签订合同时间</w:t>
            </w:r>
          </w:p>
        </w:tc>
        <w:tc>
          <w:tcPr>
            <w:tcW w:w="2225" w:type="dxa"/>
            <w:vAlign w:val="center"/>
          </w:tcPr>
          <w:p>
            <w:pPr>
              <w:pStyle w:val="15"/>
            </w:pPr>
            <w:r>
              <w:rPr>
                <w:rFonts w:hint="eastAsia"/>
              </w:rPr>
              <w:t>2023年</w:t>
            </w:r>
            <w:r>
              <w:rPr>
                <w:rFonts w:hint="eastAsia"/>
                <w:lang w:val="en-US" w:eastAsia="zh-CN"/>
              </w:rPr>
              <w:t>11</w:t>
            </w:r>
            <w:bookmarkStart w:id="0" w:name="_GoBack"/>
            <w:bookmarkEnd w:id="0"/>
            <w:r>
              <w:rPr>
                <w:rFonts w:hint="eastAsia"/>
              </w:rPr>
              <w:t>月</w:t>
            </w:r>
          </w:p>
        </w:tc>
        <w:tc>
          <w:tcPr>
            <w:tcW w:w="1659" w:type="dxa"/>
            <w:vAlign w:val="center"/>
          </w:tcPr>
          <w:p>
            <w:pPr>
              <w:pStyle w:val="15"/>
            </w:pPr>
            <w:r>
              <w:rPr>
                <w:rFonts w:hint="eastAsia"/>
              </w:rPr>
              <w:t>报告提交时间</w:t>
            </w:r>
          </w:p>
        </w:tc>
        <w:tc>
          <w:tcPr>
            <w:tcW w:w="2327" w:type="dxa"/>
            <w:vAlign w:val="center"/>
          </w:tcPr>
          <w:p>
            <w:pPr>
              <w:pStyle w:val="15"/>
            </w:pPr>
            <w:r>
              <w:rPr>
                <w:rFonts w:hint="eastAsia"/>
              </w:rPr>
              <w:t>2023年1</w:t>
            </w:r>
            <w:r>
              <w:t>2</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5"/>
            </w:pPr>
          </w:p>
        </w:tc>
        <w:tc>
          <w:tcPr>
            <w:tcW w:w="2190" w:type="dxa"/>
            <w:vAlign w:val="center"/>
          </w:tcPr>
          <w:p>
            <w:pPr>
              <w:pStyle w:val="15"/>
            </w:pPr>
            <w:r>
              <w:rPr>
                <w:rFonts w:hint="eastAsia"/>
              </w:rPr>
              <w:t>安全评价类型</w:t>
            </w:r>
          </w:p>
        </w:tc>
        <w:tc>
          <w:tcPr>
            <w:tcW w:w="6211" w:type="dxa"/>
            <w:gridSpan w:val="3"/>
            <w:vAlign w:val="center"/>
          </w:tcPr>
          <w:p>
            <w:pPr>
              <w:pStyle w:val="15"/>
            </w:pPr>
            <w:r>
              <w:rPr>
                <w:rFonts w:hint="eastAsia"/>
              </w:rPr>
              <w:t>安全现状评价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5"/>
            </w:pPr>
          </w:p>
        </w:tc>
        <w:tc>
          <w:tcPr>
            <w:tcW w:w="2190" w:type="dxa"/>
            <w:vAlign w:val="center"/>
          </w:tcPr>
          <w:p>
            <w:pPr>
              <w:pStyle w:val="15"/>
            </w:pPr>
            <w:r>
              <w:rPr>
                <w:rFonts w:hint="eastAsia"/>
              </w:rPr>
              <w:t>到现场开展评价活动人员</w:t>
            </w:r>
          </w:p>
        </w:tc>
        <w:tc>
          <w:tcPr>
            <w:tcW w:w="6211" w:type="dxa"/>
            <w:gridSpan w:val="3"/>
            <w:vAlign w:val="center"/>
          </w:tcPr>
          <w:p>
            <w:pPr>
              <w:pStyle w:val="15"/>
            </w:pPr>
            <w:r>
              <w:rPr>
                <w:rFonts w:hint="eastAsia"/>
              </w:rPr>
              <w:t>朱影、何流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5"/>
            </w:pPr>
          </w:p>
        </w:tc>
        <w:tc>
          <w:tcPr>
            <w:tcW w:w="2190" w:type="dxa"/>
            <w:vAlign w:val="center"/>
          </w:tcPr>
          <w:p>
            <w:pPr>
              <w:pStyle w:val="15"/>
            </w:pPr>
            <w:r>
              <w:rPr>
                <w:rFonts w:hint="eastAsia"/>
              </w:rPr>
              <w:t>到现场开展评价活动时间</w:t>
            </w:r>
          </w:p>
        </w:tc>
        <w:tc>
          <w:tcPr>
            <w:tcW w:w="6211" w:type="dxa"/>
            <w:gridSpan w:val="3"/>
            <w:vAlign w:val="center"/>
          </w:tcPr>
          <w:p>
            <w:pPr>
              <w:pStyle w:val="15"/>
            </w:pPr>
            <w:r>
              <w:rPr>
                <w:rFonts w:hint="eastAsia"/>
              </w:rPr>
              <w:t>2023年</w:t>
            </w:r>
            <w:r>
              <w:rPr>
                <w:rFonts w:hint="eastAsia"/>
                <w:lang w:val="en-US" w:eastAsia="zh-CN"/>
              </w:rPr>
              <w:t>12</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5"/>
            </w:pPr>
          </w:p>
        </w:tc>
        <w:tc>
          <w:tcPr>
            <w:tcW w:w="2190" w:type="dxa"/>
            <w:vAlign w:val="center"/>
          </w:tcPr>
          <w:p>
            <w:pPr>
              <w:pStyle w:val="15"/>
            </w:pPr>
            <w:r>
              <w:rPr>
                <w:rFonts w:hint="eastAsia"/>
              </w:rPr>
              <w:t>评价机构认为需要公开的其他信息</w:t>
            </w:r>
          </w:p>
        </w:tc>
        <w:tc>
          <w:tcPr>
            <w:tcW w:w="6211" w:type="dxa"/>
            <w:gridSpan w:val="3"/>
            <w:vAlign w:val="center"/>
          </w:tcPr>
          <w:p>
            <w:pPr>
              <w:pStyle w:val="1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562" w:type="dxa"/>
            <w:vMerge w:val="continue"/>
            <w:vAlign w:val="center"/>
          </w:tcPr>
          <w:p>
            <w:pPr>
              <w:pStyle w:val="15"/>
            </w:pPr>
          </w:p>
        </w:tc>
        <w:tc>
          <w:tcPr>
            <w:tcW w:w="2190" w:type="dxa"/>
            <w:vAlign w:val="center"/>
          </w:tcPr>
          <w:p>
            <w:pPr>
              <w:pStyle w:val="15"/>
            </w:pPr>
            <w:r>
              <w:rPr>
                <w:rFonts w:hint="eastAsia"/>
              </w:rPr>
              <w:t>评价结论</w:t>
            </w:r>
          </w:p>
        </w:tc>
        <w:tc>
          <w:tcPr>
            <w:tcW w:w="6211" w:type="dxa"/>
            <w:gridSpan w:val="3"/>
            <w:vAlign w:val="center"/>
          </w:tcPr>
          <w:p>
            <w:pPr>
              <w:pStyle w:val="15"/>
            </w:pPr>
            <w:r>
              <w:rPr>
                <w:rFonts w:hint="eastAsia"/>
              </w:rPr>
              <w:t>依据</w:t>
            </w:r>
            <w:r>
              <w:t>《汽车加油加气加氢站技术标准》（GB50156-2021）</w:t>
            </w:r>
            <w:r>
              <w:rPr>
                <w:rFonts w:hint="eastAsia"/>
              </w:rPr>
              <w:t>，本评价认为辽源盛东能源销售有限公司辽源盛东油气站的安全条件符合运行要求，具备安全生产条件。</w:t>
            </w:r>
          </w:p>
        </w:tc>
      </w:tr>
    </w:tbl>
    <w:p>
      <w:pPr>
        <w:pStyle w:val="14"/>
        <w:spacing w:before="156" w:after="156"/>
        <w:jc w:val="both"/>
      </w:pPr>
      <w:r>
        <w:rPr>
          <w:rFonts w:hint="eastAsia"/>
        </w:rPr>
        <w:t>注：各机构一定如实填写，所有信息在日常检查、年度考核中均要核查。</w:t>
      </w:r>
    </w:p>
    <w:p>
      <w:pPr>
        <w:pStyle w:val="14"/>
        <w:spacing w:before="156" w:after="156"/>
        <w:jc w:val="both"/>
      </w:pPr>
      <w:r>
        <w:rPr>
          <w:rFonts w:hint="eastAsia"/>
        </w:rPr>
        <w:t>说明：为便于省局统计抓取信息，请统一用此电子表格填写上传、不得自行加行、加列、合并等。</w:t>
      </w:r>
    </w:p>
    <w:p>
      <w:r>
        <w:rPr>
          <w:rFonts w:hint="eastAsia"/>
        </w:rPr>
        <w:br w:type="page"/>
      </w:r>
    </w:p>
    <w:p>
      <w:pPr>
        <w:pStyle w:val="15"/>
      </w:pPr>
      <w:r>
        <w:drawing>
          <wp:anchor distT="0" distB="0" distL="114300" distR="114300" simplePos="0" relativeHeight="251659264" behindDoc="0" locked="0" layoutInCell="1" allowOverlap="1">
            <wp:simplePos x="0" y="0"/>
            <wp:positionH relativeFrom="column">
              <wp:posOffset>0</wp:posOffset>
            </wp:positionH>
            <wp:positionV relativeFrom="paragraph">
              <wp:posOffset>198120</wp:posOffset>
            </wp:positionV>
            <wp:extent cx="5274310" cy="7030085"/>
            <wp:effectExtent l="0" t="0" r="2540" b="0"/>
            <wp:wrapTopAndBottom/>
            <wp:docPr id="8069679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967970"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7030085"/>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3NDkwOGZkZDZlZTVhZDk0NzNjMzg0MTE0YmE0ODEifQ=="/>
  </w:docVars>
  <w:rsids>
    <w:rsidRoot w:val="00CB7D33"/>
    <w:rsid w:val="009F6EB3"/>
    <w:rsid w:val="00AB7008"/>
    <w:rsid w:val="00CB7D33"/>
    <w:rsid w:val="03775FF9"/>
    <w:rsid w:val="063C0977"/>
    <w:rsid w:val="080433BC"/>
    <w:rsid w:val="0F2A7BDA"/>
    <w:rsid w:val="17164D2D"/>
    <w:rsid w:val="18FA5ACB"/>
    <w:rsid w:val="1B3B7B27"/>
    <w:rsid w:val="1B57087A"/>
    <w:rsid w:val="1D7D5DE0"/>
    <w:rsid w:val="1E7B2211"/>
    <w:rsid w:val="1EB02E22"/>
    <w:rsid w:val="1F10002E"/>
    <w:rsid w:val="1FFB2D51"/>
    <w:rsid w:val="21B51F1E"/>
    <w:rsid w:val="23EA287A"/>
    <w:rsid w:val="266D75E2"/>
    <w:rsid w:val="2AC1489B"/>
    <w:rsid w:val="2BBA78DB"/>
    <w:rsid w:val="2C243291"/>
    <w:rsid w:val="2CE521D2"/>
    <w:rsid w:val="2CFB1290"/>
    <w:rsid w:val="2DE346CD"/>
    <w:rsid w:val="2F537F03"/>
    <w:rsid w:val="33557238"/>
    <w:rsid w:val="344717FA"/>
    <w:rsid w:val="3CB84718"/>
    <w:rsid w:val="3D5D7285"/>
    <w:rsid w:val="3E4F4C24"/>
    <w:rsid w:val="3F682B7F"/>
    <w:rsid w:val="40A53C4B"/>
    <w:rsid w:val="446E5A21"/>
    <w:rsid w:val="45264B07"/>
    <w:rsid w:val="4918125D"/>
    <w:rsid w:val="4CF0697B"/>
    <w:rsid w:val="4D317A90"/>
    <w:rsid w:val="4E140D38"/>
    <w:rsid w:val="4F0B3736"/>
    <w:rsid w:val="50754EFD"/>
    <w:rsid w:val="510F32AA"/>
    <w:rsid w:val="53102632"/>
    <w:rsid w:val="54F44E62"/>
    <w:rsid w:val="569B408C"/>
    <w:rsid w:val="591D7843"/>
    <w:rsid w:val="592F0FE5"/>
    <w:rsid w:val="5D9937A8"/>
    <w:rsid w:val="636675A7"/>
    <w:rsid w:val="64BE2E12"/>
    <w:rsid w:val="64D16366"/>
    <w:rsid w:val="661B5E1C"/>
    <w:rsid w:val="66624FDA"/>
    <w:rsid w:val="685E432C"/>
    <w:rsid w:val="6B4F07CF"/>
    <w:rsid w:val="6DE276AB"/>
    <w:rsid w:val="6E0A5012"/>
    <w:rsid w:val="705B310F"/>
    <w:rsid w:val="7135192B"/>
    <w:rsid w:val="73274DAB"/>
    <w:rsid w:val="768E664E"/>
    <w:rsid w:val="77CD7905"/>
    <w:rsid w:val="78953C1C"/>
    <w:rsid w:val="7D900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next w:val="1"/>
    <w:autoRedefine/>
    <w:qFormat/>
    <w:uiPriority w:val="0"/>
    <w:pPr>
      <w:keepNext/>
      <w:keepLines/>
      <w:pageBreakBefore/>
      <w:spacing w:before="50" w:beforeLines="50" w:after="50" w:afterLines="50" w:line="560" w:lineRule="exact"/>
      <w:outlineLvl w:val="0"/>
    </w:pPr>
    <w:rPr>
      <w:rFonts w:ascii="Times New Roman" w:hAnsi="Times New Roman" w:eastAsia="宋体" w:cstheme="minorBidi"/>
      <w:b/>
      <w:bCs/>
      <w:kern w:val="44"/>
      <w:sz w:val="32"/>
      <w:szCs w:val="32"/>
      <w:lang w:val="en-US" w:eastAsia="zh-CN" w:bidi="ar-SA"/>
    </w:rPr>
  </w:style>
  <w:style w:type="paragraph" w:styleId="6">
    <w:name w:val="heading 2"/>
    <w:next w:val="1"/>
    <w:autoRedefine/>
    <w:semiHidden/>
    <w:unhideWhenUsed/>
    <w:qFormat/>
    <w:uiPriority w:val="0"/>
    <w:pPr>
      <w:keepNext/>
      <w:keepLines/>
      <w:spacing w:before="50" w:beforeLines="50" w:after="50" w:afterLines="50" w:line="560" w:lineRule="exact"/>
      <w:outlineLvl w:val="1"/>
    </w:pPr>
    <w:rPr>
      <w:rFonts w:ascii="Times New Roman" w:hAnsi="Times New Roman" w:eastAsia="宋体" w:cstheme="minorBidi"/>
      <w:b/>
      <w:bCs/>
      <w:sz w:val="28"/>
      <w:szCs w:val="28"/>
      <w:lang w:val="en-US" w:eastAsia="zh-CN" w:bidi="ar-SA"/>
    </w:rPr>
  </w:style>
  <w:style w:type="paragraph" w:styleId="7">
    <w:name w:val="heading 3"/>
    <w:next w:val="1"/>
    <w:autoRedefine/>
    <w:semiHidden/>
    <w:unhideWhenUsed/>
    <w:qFormat/>
    <w:uiPriority w:val="0"/>
    <w:pPr>
      <w:keepNext/>
      <w:keepLines/>
      <w:spacing w:before="50" w:beforeLines="50" w:after="50" w:afterLines="50" w:line="560" w:lineRule="exact"/>
      <w:outlineLvl w:val="2"/>
    </w:pPr>
    <w:rPr>
      <w:rFonts w:ascii="Times New Roman" w:hAnsi="Times New Roman" w:eastAsia="宋体" w:cstheme="minorBidi"/>
      <w:b/>
      <w:bCs/>
      <w:sz w:val="28"/>
      <w:szCs w:val="28"/>
      <w:lang w:val="en-US" w:eastAsia="zh-CN" w:bidi="ar-SA"/>
    </w:rPr>
  </w:style>
  <w:style w:type="paragraph" w:styleId="8">
    <w:name w:val="heading 4"/>
    <w:next w:val="1"/>
    <w:autoRedefine/>
    <w:semiHidden/>
    <w:unhideWhenUsed/>
    <w:qFormat/>
    <w:uiPriority w:val="0"/>
    <w:pPr>
      <w:keepNext/>
      <w:keepLines/>
      <w:spacing w:before="50" w:beforeLines="50" w:after="50" w:afterLines="50" w:line="560" w:lineRule="exact"/>
      <w:outlineLvl w:val="3"/>
    </w:pPr>
    <w:rPr>
      <w:rFonts w:ascii="Times New Roman" w:hAnsi="Times New Roman" w:eastAsia="宋体" w:cstheme="minorBidi"/>
      <w:b/>
      <w:bCs/>
      <w:sz w:val="28"/>
      <w:szCs w:val="28"/>
      <w:lang w:val="en-US" w:eastAsia="zh-CN" w:bidi="ar-SA"/>
    </w:rPr>
  </w:style>
  <w:style w:type="paragraph" w:styleId="9">
    <w:name w:val="heading 5"/>
    <w:next w:val="1"/>
    <w:autoRedefine/>
    <w:semiHidden/>
    <w:unhideWhenUsed/>
    <w:qFormat/>
    <w:uiPriority w:val="0"/>
    <w:pPr>
      <w:keepNext/>
      <w:keepLines/>
      <w:spacing w:before="50" w:beforeLines="50" w:after="50" w:afterLines="50" w:line="560" w:lineRule="exact"/>
      <w:outlineLvl w:val="4"/>
    </w:pPr>
    <w:rPr>
      <w:rFonts w:ascii="Times New Roman" w:hAnsi="Times New Roman" w:eastAsia="宋体" w:cstheme="minorBidi"/>
      <w:b/>
      <w:bCs/>
      <w:sz w:val="28"/>
      <w:szCs w:val="28"/>
      <w:lang w:val="en-US" w:eastAsia="zh-CN" w:bidi="ar-SA"/>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1"/>
    <w:autoRedefine/>
    <w:qFormat/>
    <w:uiPriority w:val="0"/>
    <w:pPr>
      <w:ind w:firstLine="420" w:firstLineChars="100"/>
    </w:pPr>
  </w:style>
  <w:style w:type="paragraph" w:styleId="3">
    <w:name w:val="Body Text"/>
    <w:basedOn w:val="1"/>
    <w:next w:val="4"/>
    <w:autoRedefine/>
    <w:qFormat/>
    <w:uiPriority w:val="0"/>
    <w:pPr>
      <w:spacing w:after="120"/>
    </w:pPr>
  </w:style>
  <w:style w:type="paragraph" w:styleId="4">
    <w:name w:val="toc 1"/>
    <w:basedOn w:val="1"/>
    <w:next w:val="1"/>
    <w:autoRedefine/>
    <w:unhideWhenUsed/>
    <w:qFormat/>
    <w:uiPriority w:val="39"/>
    <w:pPr>
      <w:widowControl/>
      <w:tabs>
        <w:tab w:val="right" w:leader="dot" w:pos="8296"/>
      </w:tabs>
      <w:spacing w:after="100" w:line="276" w:lineRule="auto"/>
      <w:jc w:val="center"/>
    </w:pPr>
    <w:rPr>
      <w:rFonts w:ascii="宋体" w:hAnsi="宋体"/>
      <w:color w:val="000000"/>
      <w:w w:val="80"/>
      <w:kern w:val="0"/>
      <w:sz w:val="32"/>
      <w:szCs w:val="32"/>
    </w:rPr>
  </w:style>
  <w:style w:type="paragraph" w:styleId="10">
    <w:name w:val="footer"/>
    <w:autoRedefine/>
    <w:qFormat/>
    <w:uiPriority w:val="0"/>
    <w:pPr>
      <w:tabs>
        <w:tab w:val="center" w:pos="4153"/>
        <w:tab w:val="right" w:pos="8306"/>
      </w:tabs>
      <w:snapToGrid w:val="0"/>
      <w:jc w:val="center"/>
    </w:pPr>
    <w:rPr>
      <w:rFonts w:ascii="Times New Roman" w:hAnsi="Times New Roman" w:eastAsia="黑体" w:cstheme="minorBidi"/>
      <w:sz w:val="21"/>
      <w:szCs w:val="21"/>
      <w:lang w:val="en-US" w:eastAsia="zh-CN" w:bidi="ar-SA"/>
    </w:rPr>
  </w:style>
  <w:style w:type="paragraph" w:styleId="11">
    <w:name w:val="header"/>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imes New Roman" w:hAnsi="Times New Roman" w:eastAsia="黑体" w:cstheme="minorBidi"/>
      <w:sz w:val="21"/>
      <w:szCs w:val="21"/>
      <w:lang w:val="en-US" w:eastAsia="zh-CN" w:bidi="ar-SA"/>
    </w:rPr>
  </w:style>
  <w:style w:type="paragraph" w:customStyle="1" w:styleId="14">
    <w:name w:val="表头"/>
    <w:next w:val="15"/>
    <w:autoRedefine/>
    <w:qFormat/>
    <w:uiPriority w:val="0"/>
    <w:pPr>
      <w:spacing w:before="50" w:beforeLines="50" w:after="50" w:afterLines="50"/>
      <w:jc w:val="center"/>
    </w:pPr>
    <w:rPr>
      <w:rFonts w:ascii="Times New Roman" w:hAnsi="Times New Roman" w:eastAsia="黑体" w:cstheme="minorBidi"/>
      <w:sz w:val="21"/>
      <w:szCs w:val="21"/>
      <w:lang w:val="en-US" w:eastAsia="zh-CN" w:bidi="ar-SA"/>
    </w:rPr>
  </w:style>
  <w:style w:type="paragraph" w:customStyle="1" w:styleId="15">
    <w:name w:val="表格"/>
    <w:next w:val="1"/>
    <w:autoRedefine/>
    <w:qFormat/>
    <w:uiPriority w:val="0"/>
    <w:rPr>
      <w:rFonts w:ascii="Times New Roman" w:hAnsi="Times New Roman" w:eastAsia="黑体" w:cstheme="minorBidi"/>
      <w:sz w:val="21"/>
      <w:szCs w:val="21"/>
      <w:lang w:val="en-US" w:eastAsia="zh-CN" w:bidi="ar-SA"/>
    </w:rPr>
  </w:style>
  <w:style w:type="paragraph" w:customStyle="1" w:styleId="16">
    <w:name w:val="名称"/>
    <w:autoRedefine/>
    <w:qFormat/>
    <w:uiPriority w:val="0"/>
    <w:pPr>
      <w:spacing w:before="50" w:beforeLines="50" w:after="50" w:afterLines="50" w:line="560" w:lineRule="exact"/>
      <w:jc w:val="center"/>
    </w:pPr>
    <w:rPr>
      <w:rFonts w:ascii="宋体" w:hAnsi="宋体" w:eastAsia="宋体" w:cs="宋体"/>
      <w:b/>
      <w:bCs/>
      <w:sz w:val="44"/>
      <w:szCs w:val="44"/>
      <w:lang w:val="en-US" w:eastAsia="zh-CN" w:bidi="ar-SA"/>
    </w:rPr>
  </w:style>
  <w:style w:type="paragraph" w:customStyle="1" w:styleId="17">
    <w:name w:val="报告"/>
    <w:next w:val="1"/>
    <w:autoRedefine/>
    <w:qFormat/>
    <w:uiPriority w:val="0"/>
    <w:pPr>
      <w:spacing w:before="50" w:beforeLines="50" w:after="50" w:afterLines="50" w:line="560" w:lineRule="exact"/>
      <w:jc w:val="center"/>
    </w:pPr>
    <w:rPr>
      <w:rFonts w:ascii="黑体" w:hAnsi="黑体" w:eastAsia="黑体" w:cs="黑体"/>
      <w:b/>
      <w:bCs/>
      <w:sz w:val="52"/>
      <w:szCs w:val="52"/>
      <w:lang w:val="en-US" w:eastAsia="zh-CN" w:bidi="ar-SA"/>
    </w:rPr>
  </w:style>
  <w:style w:type="paragraph" w:customStyle="1" w:styleId="18">
    <w:name w:val="证书日期"/>
    <w:autoRedefine/>
    <w:qFormat/>
    <w:uiPriority w:val="0"/>
    <w:pPr>
      <w:spacing w:before="50" w:beforeLines="50" w:after="50" w:afterLines="50" w:line="560" w:lineRule="exact"/>
      <w:jc w:val="center"/>
    </w:pPr>
    <w:rPr>
      <w:rFonts w:ascii="宋体" w:hAnsi="宋体" w:eastAsia="宋体" w:cs="宋体"/>
      <w:b/>
      <w:bCs/>
      <w:sz w:val="32"/>
      <w:szCs w:val="32"/>
      <w:lang w:val="en-US" w:eastAsia="zh-CN" w:bidi="ar-SA"/>
    </w:rPr>
  </w:style>
  <w:style w:type="paragraph" w:customStyle="1" w:styleId="19">
    <w:name w:val="内封名称"/>
    <w:autoRedefine/>
    <w:qFormat/>
    <w:uiPriority w:val="0"/>
    <w:pPr>
      <w:spacing w:before="50" w:beforeLines="50" w:after="50" w:afterLines="50" w:line="560" w:lineRule="exact"/>
      <w:jc w:val="center"/>
    </w:pPr>
    <w:rPr>
      <w:rFonts w:ascii="宋体" w:hAnsi="宋体" w:eastAsia="宋体" w:cs="宋体"/>
      <w:b/>
      <w:bCs/>
      <w:sz w:val="32"/>
      <w:szCs w:val="32"/>
      <w:lang w:val="en-US" w:eastAsia="zh-CN" w:bidi="ar-SA"/>
    </w:rPr>
  </w:style>
  <w:style w:type="paragraph" w:customStyle="1" w:styleId="20">
    <w:name w:val="内封报告"/>
    <w:autoRedefine/>
    <w:qFormat/>
    <w:uiPriority w:val="0"/>
    <w:pPr>
      <w:spacing w:before="50" w:beforeLines="50" w:after="50" w:afterLines="50" w:line="560" w:lineRule="exact"/>
      <w:jc w:val="center"/>
    </w:pPr>
    <w:rPr>
      <w:rFonts w:ascii="宋体" w:hAnsi="宋体" w:eastAsia="宋体" w:cs="宋体"/>
      <w:b/>
      <w:bCs/>
      <w:sz w:val="44"/>
      <w:szCs w:val="44"/>
      <w:lang w:val="en-US" w:eastAsia="zh-CN" w:bidi="ar-SA"/>
    </w:rPr>
  </w:style>
  <w:style w:type="paragraph" w:customStyle="1" w:styleId="21">
    <w:name w:val="内封人"/>
    <w:autoRedefine/>
    <w:qFormat/>
    <w:uiPriority w:val="0"/>
    <w:pPr>
      <w:spacing w:before="50" w:beforeLines="50" w:after="50" w:afterLines="50" w:line="560" w:lineRule="exact"/>
      <w:jc w:val="center"/>
    </w:pPr>
    <w:rPr>
      <w:rFonts w:ascii="宋体" w:hAnsi="宋体" w:eastAsia="宋体" w:cs="宋体"/>
      <w:sz w:val="28"/>
      <w:szCs w:val="28"/>
      <w:lang w:val="en-US" w:eastAsia="zh-CN" w:bidi="ar-SA"/>
    </w:rPr>
  </w:style>
  <w:style w:type="paragraph" w:customStyle="1" w:styleId="22">
    <w:name w:val="内封日期"/>
    <w:autoRedefine/>
    <w:qFormat/>
    <w:uiPriority w:val="0"/>
    <w:pPr>
      <w:spacing w:before="50" w:beforeLines="50" w:after="50" w:afterLines="50" w:line="560" w:lineRule="exact"/>
      <w:jc w:val="center"/>
    </w:pPr>
    <w:rPr>
      <w:rFonts w:ascii="宋体" w:hAnsi="宋体" w:eastAsia="宋体" w:cs="宋体"/>
      <w:b/>
      <w:bCs/>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382</Words>
  <Characters>437</Characters>
  <Lines>48</Lines>
  <Paragraphs>48</Paragraphs>
  <TotalTime>6</TotalTime>
  <ScaleCrop>false</ScaleCrop>
  <LinksUpToDate>false</LinksUpToDate>
  <CharactersWithSpaces>771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2021-04-01T07:21:00Z</dcterms:created>
  <dc:creator>14279</dc:creator>
  <cp:lastModifiedBy>10512</cp:lastModifiedBy>
  <cp:lastPrinted>2021-05-11T01:06:00Z</cp:lastPrinted>
  <dcterms:modified xsi:type="dcterms:W3CDTF">2024-02-01T03:08:57Z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81EB4435353A4D7B9A89B4991E7F6930</vt:lpwstr>
  </property>
</Properties>
</file>